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3716" w14:textId="7F3B794F" w:rsidR="00785762" w:rsidRDefault="004D26A0" w:rsidP="00B17F7C">
      <w:pPr>
        <w:pStyle w:val="Sinespaciado"/>
        <w:jc w:val="both"/>
        <w:rPr>
          <w:b/>
          <w:color w:val="00B0F0"/>
          <w:sz w:val="28"/>
          <w:szCs w:val="28"/>
        </w:rPr>
      </w:pPr>
      <w:r w:rsidRPr="004D26A0">
        <w:rPr>
          <w:b/>
          <w:color w:val="00B0F0"/>
          <w:sz w:val="28"/>
          <w:szCs w:val="28"/>
        </w:rPr>
        <w:t>3.2 MOVILIDAD URBANA Y SISTEMA VIAL</w:t>
      </w:r>
    </w:p>
    <w:p w14:paraId="27A9C862" w14:textId="77777777" w:rsidR="00B25913" w:rsidRDefault="00B25913" w:rsidP="00B17F7C">
      <w:pPr>
        <w:pStyle w:val="Sinespaciado"/>
        <w:jc w:val="both"/>
        <w:rPr>
          <w:b/>
          <w:color w:val="00B0F0"/>
          <w:sz w:val="28"/>
          <w:szCs w:val="28"/>
        </w:rPr>
      </w:pPr>
    </w:p>
    <w:p w14:paraId="159CF818" w14:textId="765BCFF8" w:rsidR="006C07C9" w:rsidRPr="00B17F7C" w:rsidRDefault="006C07C9" w:rsidP="00B17F7C">
      <w:pPr>
        <w:pStyle w:val="Sinespaciado"/>
        <w:jc w:val="both"/>
        <w:rPr>
          <w:b/>
          <w:color w:val="000000" w:themeColor="text1"/>
        </w:rPr>
      </w:pPr>
      <w:r w:rsidRPr="00B17F7C">
        <w:rPr>
          <w:b/>
          <w:color w:val="000000" w:themeColor="text1"/>
        </w:rPr>
        <w:t>3.2.1 Reconfiguración del sistema vial</w:t>
      </w:r>
    </w:p>
    <w:p w14:paraId="05C0A065" w14:textId="77777777" w:rsidR="00B17F7C" w:rsidRDefault="00B17F7C" w:rsidP="00B17F7C">
      <w:pPr>
        <w:spacing w:after="0" w:line="240" w:lineRule="auto"/>
      </w:pPr>
    </w:p>
    <w:p w14:paraId="47D5361B" w14:textId="43043599" w:rsidR="00551DA5" w:rsidRDefault="009D38BD" w:rsidP="00B17F7C">
      <w:pPr>
        <w:spacing w:after="0" w:line="240" w:lineRule="auto"/>
        <w:rPr>
          <w:lang w:val="es-419"/>
        </w:rPr>
      </w:pPr>
      <w:r>
        <w:t>E</w:t>
      </w:r>
      <w:r w:rsidR="00BA2C8A">
        <w:t>l</w:t>
      </w:r>
      <w:r>
        <w:t xml:space="preserve"> sistema vial urbano de Mej</w:t>
      </w:r>
      <w:r>
        <w:rPr>
          <w:lang w:val="es-419"/>
        </w:rPr>
        <w:t>ía en configuración de espina de pez es</w:t>
      </w:r>
      <w:r w:rsidR="00F806FD">
        <w:rPr>
          <w:lang w:val="es-419"/>
        </w:rPr>
        <w:t>t</w:t>
      </w:r>
      <w:r>
        <w:rPr>
          <w:lang w:val="es-419"/>
        </w:rPr>
        <w:t>ructurado sobre la Tambo con una variación entre 1</w:t>
      </w:r>
      <w:r w:rsidR="00F806FD">
        <w:rPr>
          <w:lang w:val="es-419"/>
        </w:rPr>
        <w:t>5</w:t>
      </w:r>
      <w:r>
        <w:rPr>
          <w:lang w:val="es-419"/>
        </w:rPr>
        <w:t xml:space="preserve"> metros y </w:t>
      </w:r>
      <w:r w:rsidR="00F806FD">
        <w:rPr>
          <w:lang w:val="es-419"/>
        </w:rPr>
        <w:t>9 metros de ancho de vía es incapaz</w:t>
      </w:r>
      <w:r>
        <w:rPr>
          <w:lang w:val="es-419"/>
        </w:rPr>
        <w:t xml:space="preserve"> </w:t>
      </w:r>
      <w:r w:rsidR="00F806FD">
        <w:rPr>
          <w:lang w:val="es-419"/>
        </w:rPr>
        <w:t xml:space="preserve">de soportar la carga actual de seis mil personas </w:t>
      </w:r>
      <w:r w:rsidR="00B17F7C">
        <w:rPr>
          <w:lang w:val="es-419"/>
        </w:rPr>
        <w:t xml:space="preserve">(en periodo vacacional) </w:t>
      </w:r>
      <w:r w:rsidR="00F806FD">
        <w:rPr>
          <w:lang w:val="es-419"/>
        </w:rPr>
        <w:t>y aún menos una proyección de 13 mil personas con la ocupación de todas las áreas urbanizados. Para tal</w:t>
      </w:r>
      <w:r w:rsidR="00B17F7C">
        <w:rPr>
          <w:lang w:val="es-419"/>
        </w:rPr>
        <w:t>,</w:t>
      </w:r>
      <w:r w:rsidR="00F806FD">
        <w:rPr>
          <w:lang w:val="es-419"/>
        </w:rPr>
        <w:t xml:space="preserve"> el Equipo Técnico del EOU propone que con la construcción de un</w:t>
      </w:r>
      <w:r w:rsidR="00D97E68">
        <w:rPr>
          <w:lang w:val="es-419"/>
        </w:rPr>
        <w:t>a</w:t>
      </w:r>
      <w:r w:rsidR="00F806FD">
        <w:rPr>
          <w:lang w:val="es-419"/>
        </w:rPr>
        <w:t xml:space="preserve"> prolongación de la </w:t>
      </w:r>
      <w:r w:rsidR="00B17F7C">
        <w:rPr>
          <w:lang w:val="es-419"/>
        </w:rPr>
        <w:t xml:space="preserve">vía </w:t>
      </w:r>
      <w:r w:rsidR="00F806FD">
        <w:rPr>
          <w:lang w:val="es-419"/>
        </w:rPr>
        <w:t>Gilardi</w:t>
      </w:r>
      <w:r w:rsidR="00B17F7C">
        <w:rPr>
          <w:lang w:val="es-419"/>
        </w:rPr>
        <w:t>,</w:t>
      </w:r>
      <w:r w:rsidR="00F806FD">
        <w:rPr>
          <w:lang w:val="es-419"/>
        </w:rPr>
        <w:t xml:space="preserve"> </w:t>
      </w:r>
      <w:r w:rsidR="00B17F7C">
        <w:rPr>
          <w:lang w:val="es-419"/>
        </w:rPr>
        <w:t>é</w:t>
      </w:r>
      <w:r w:rsidR="00F806FD">
        <w:rPr>
          <w:lang w:val="es-419"/>
        </w:rPr>
        <w:t xml:space="preserve">stas funcionarían como pares </w:t>
      </w:r>
      <w:r w:rsidR="00D97E68">
        <w:rPr>
          <w:lang w:val="es-419"/>
        </w:rPr>
        <w:t xml:space="preserve">viales; con </w:t>
      </w:r>
      <w:r w:rsidR="00B17F7C">
        <w:rPr>
          <w:lang w:val="es-419"/>
        </w:rPr>
        <w:t xml:space="preserve">Av. </w:t>
      </w:r>
      <w:r w:rsidR="00D97E68">
        <w:rPr>
          <w:lang w:val="es-419"/>
        </w:rPr>
        <w:t>Tambo en sentido norte-sur y Gilardi y prolongación Gilardi en el sentido Sur-Norte</w:t>
      </w:r>
      <w:r w:rsidR="00551DA5">
        <w:rPr>
          <w:lang w:val="es-419"/>
        </w:rPr>
        <w:t xml:space="preserve">, unidas por </w:t>
      </w:r>
      <w:r w:rsidR="00B17F7C">
        <w:rPr>
          <w:lang w:val="es-419"/>
        </w:rPr>
        <w:t xml:space="preserve">vías </w:t>
      </w:r>
      <w:r w:rsidR="00551DA5">
        <w:rPr>
          <w:lang w:val="es-419"/>
        </w:rPr>
        <w:t>transversales.</w:t>
      </w:r>
    </w:p>
    <w:p w14:paraId="2E9CB4F4" w14:textId="77777777" w:rsidR="00B17F7C" w:rsidRDefault="00B17F7C" w:rsidP="00B17F7C">
      <w:pPr>
        <w:spacing w:after="0" w:line="240" w:lineRule="auto"/>
        <w:rPr>
          <w:lang w:val="es-419"/>
        </w:rPr>
      </w:pPr>
    </w:p>
    <w:p w14:paraId="2A23CB39" w14:textId="666E2627" w:rsidR="00551DA5" w:rsidRDefault="00551DA5" w:rsidP="00B17F7C">
      <w:pPr>
        <w:spacing w:after="0" w:line="240" w:lineRule="auto"/>
        <w:rPr>
          <w:lang w:val="es-419"/>
        </w:rPr>
      </w:pPr>
      <w:r>
        <w:rPr>
          <w:lang w:val="es-419"/>
        </w:rPr>
        <w:t>La reconfiguración a modo de malla permitiría extender la compatibilidad de uso comercial a todo el tejido entre est</w:t>
      </w:r>
      <w:r w:rsidR="00B17F7C">
        <w:rPr>
          <w:lang w:val="es-419"/>
        </w:rPr>
        <w:t>o</w:t>
      </w:r>
      <w:r>
        <w:rPr>
          <w:lang w:val="es-419"/>
        </w:rPr>
        <w:t>s dos ejes longitudinales, mejorando la relación entre un uso del suelo difuso y la movilidad.</w:t>
      </w:r>
    </w:p>
    <w:p w14:paraId="2D69502A" w14:textId="4CD6B441" w:rsidR="00B17F7C" w:rsidRDefault="00B17F7C" w:rsidP="00B17F7C">
      <w:pPr>
        <w:spacing w:after="0" w:line="240" w:lineRule="auto"/>
        <w:rPr>
          <w:lang w:val="es-419"/>
        </w:rPr>
      </w:pPr>
    </w:p>
    <w:p w14:paraId="63CE039E" w14:textId="77777777" w:rsidR="00B17F7C" w:rsidRPr="009D38BD" w:rsidRDefault="00B17F7C" w:rsidP="00B17F7C">
      <w:pPr>
        <w:spacing w:after="0" w:line="240" w:lineRule="auto"/>
        <w:rPr>
          <w:lang w:val="es-419"/>
        </w:rPr>
      </w:pPr>
    </w:p>
    <w:p w14:paraId="4575E843" w14:textId="14A63FFB" w:rsidR="004D26A0" w:rsidRDefault="004D26A0" w:rsidP="00B17F7C">
      <w:pPr>
        <w:pStyle w:val="Sinespaciado"/>
        <w:jc w:val="both"/>
        <w:rPr>
          <w:b/>
          <w:color w:val="000000" w:themeColor="text1"/>
        </w:rPr>
      </w:pPr>
      <w:r w:rsidRPr="00B17F7C">
        <w:rPr>
          <w:b/>
          <w:color w:val="000000" w:themeColor="text1"/>
        </w:rPr>
        <w:t>3.2.</w:t>
      </w:r>
      <w:r w:rsidR="006C07C9" w:rsidRPr="00B17F7C">
        <w:rPr>
          <w:b/>
          <w:color w:val="000000" w:themeColor="text1"/>
        </w:rPr>
        <w:t>2</w:t>
      </w:r>
      <w:r w:rsidRPr="00B17F7C">
        <w:rPr>
          <w:b/>
          <w:color w:val="000000" w:themeColor="text1"/>
        </w:rPr>
        <w:t xml:space="preserve"> Clasificación del Sistema Vial</w:t>
      </w:r>
    </w:p>
    <w:p w14:paraId="48F147D1" w14:textId="77777777" w:rsidR="00B17F7C" w:rsidRPr="00B17F7C" w:rsidRDefault="00B17F7C" w:rsidP="00B17F7C">
      <w:pPr>
        <w:pStyle w:val="Sinespaciado"/>
        <w:jc w:val="both"/>
        <w:rPr>
          <w:b/>
          <w:color w:val="000000" w:themeColor="text1"/>
        </w:rPr>
      </w:pPr>
    </w:p>
    <w:p w14:paraId="575C1E9E" w14:textId="2ABA8C99" w:rsidR="001E2DCB" w:rsidRDefault="004D26A0" w:rsidP="00B17F7C">
      <w:pPr>
        <w:spacing w:after="0" w:line="240" w:lineRule="auto"/>
      </w:pPr>
      <w:r>
        <w:t xml:space="preserve">Las vías </w:t>
      </w:r>
      <w:r w:rsidR="001E2DCB">
        <w:t xml:space="preserve">extra urbanas se clasifican por el sistema del Ministerio de Transporte </w:t>
      </w:r>
      <w:r w:rsidR="0016149F">
        <w:t xml:space="preserve">y Comunicaciones </w:t>
      </w:r>
      <w:r w:rsidR="001E2DCB">
        <w:t>son compuestas por la carretera costanera</w:t>
      </w:r>
      <w:r w:rsidR="0016149F">
        <w:t xml:space="preserve"> incluyendo la actual vía de evitamiento, pertenecientes al eje longitudinal 1, variante </w:t>
      </w:r>
      <w:r w:rsidR="0016149F" w:rsidRPr="001E2DCB">
        <w:t>PE-1S D</w:t>
      </w:r>
      <w:r w:rsidR="0016149F">
        <w:t xml:space="preserve"> de la Red Vial Nacional </w:t>
      </w:r>
      <w:r w:rsidR="001E2DCB">
        <w:t>y las vías vecinales.</w:t>
      </w:r>
    </w:p>
    <w:p w14:paraId="51B088AC" w14:textId="77777777" w:rsidR="00B17F7C" w:rsidRDefault="00B17F7C" w:rsidP="00B17F7C">
      <w:pPr>
        <w:spacing w:after="0" w:line="240" w:lineRule="auto"/>
      </w:pPr>
    </w:p>
    <w:p w14:paraId="040F69CB" w14:textId="7C780612" w:rsidR="001E2DCB" w:rsidRDefault="0016149F" w:rsidP="00B17F7C">
      <w:pPr>
        <w:spacing w:after="0" w:line="240" w:lineRule="auto"/>
      </w:pPr>
      <w:r>
        <w:t xml:space="preserve">A pesar de que la clasificación del sistema vial urbano del Ministerio de Transporte y Comunicaciones, y la clasificación del </w:t>
      </w:r>
      <w:r w:rsidRPr="0016149F">
        <w:t xml:space="preserve">Ministerio de Vivienda, Construcción y Saneamiento </w:t>
      </w:r>
      <w:r>
        <w:t>son conflictivos, las vías urbanas públicas de Mejía, a excepción de la Av. Tambo se encuadrarían apenas como vías locales.</w:t>
      </w:r>
    </w:p>
    <w:p w14:paraId="238DEDB5" w14:textId="77777777" w:rsidR="00B17F7C" w:rsidRDefault="00B17F7C" w:rsidP="00B17F7C">
      <w:pPr>
        <w:spacing w:after="0" w:line="240" w:lineRule="auto"/>
      </w:pPr>
    </w:p>
    <w:p w14:paraId="5E5A54C8" w14:textId="59873CA7" w:rsidR="0016149F" w:rsidRDefault="0016149F" w:rsidP="00B17F7C">
      <w:pPr>
        <w:spacing w:after="0" w:line="240" w:lineRule="auto"/>
      </w:pPr>
      <w:r>
        <w:t xml:space="preserve">El equipo técnico </w:t>
      </w:r>
      <w:r w:rsidR="000B7641">
        <w:t xml:space="preserve">del EOU de Mejía, </w:t>
      </w:r>
      <w:r>
        <w:t xml:space="preserve">comprendiendo que </w:t>
      </w:r>
      <w:r w:rsidR="00B17F7C">
        <w:t>la clasificación de ambos ministerios es</w:t>
      </w:r>
      <w:r w:rsidR="000B7641">
        <w:t xml:space="preserve"> inadecuad</w:t>
      </w:r>
      <w:r w:rsidR="00B17F7C">
        <w:t>a</w:t>
      </w:r>
      <w:r w:rsidR="000B7641">
        <w:t xml:space="preserve"> tanto para el tamaño del centro poblado como para los últimos desarrollos de movilidad urbana en el diseño y clasificación vial, </w:t>
      </w:r>
      <w:r w:rsidR="00B17F7C">
        <w:t xml:space="preserve">por ello, </w:t>
      </w:r>
      <w:r w:rsidR="000B7641">
        <w:t xml:space="preserve">prefiere reclasificar las vías según </w:t>
      </w:r>
      <w:r w:rsidR="00B17F7C">
        <w:t>su aptitud</w:t>
      </w:r>
      <w:r w:rsidR="000B7641">
        <w:t xml:space="preserve"> para desempeñar de acuerdo a su articulación con el reordenamiento urbano, la conectividad con otras vías y/o las dimensiones</w:t>
      </w:r>
      <w:r w:rsidR="00335489">
        <w:t xml:space="preserve"> específicas</w:t>
      </w:r>
      <w:r w:rsidR="000B7641">
        <w:t>.</w:t>
      </w:r>
    </w:p>
    <w:p w14:paraId="687DD723" w14:textId="77777777" w:rsidR="00B17F7C" w:rsidRDefault="00B17F7C" w:rsidP="00B17F7C">
      <w:pPr>
        <w:spacing w:after="0" w:line="240" w:lineRule="auto"/>
      </w:pPr>
    </w:p>
    <w:p w14:paraId="4A7353CC" w14:textId="342EB114" w:rsidR="000B7641" w:rsidRDefault="000B7641" w:rsidP="00B17F7C">
      <w:pPr>
        <w:spacing w:after="0" w:line="240" w:lineRule="auto"/>
      </w:pPr>
      <w:r>
        <w:t>Como ninguna atiende las dimensiones ni performances de expresas o arteriales, el equipo técnico del EOU de Mejía</w:t>
      </w:r>
      <w:r w:rsidR="00335489">
        <w:t xml:space="preserve"> propone las categorías: Colectoras principales, colectoras secundarias, locales segregadas, locales treinta y </w:t>
      </w:r>
      <w:r w:rsidR="00215224">
        <w:t>paseos</w:t>
      </w:r>
      <w:r w:rsidR="00335489">
        <w:t>.</w:t>
      </w:r>
    </w:p>
    <w:p w14:paraId="7E4C2102" w14:textId="77777777" w:rsidR="00B17F7C" w:rsidRDefault="00B17F7C" w:rsidP="00B17F7C">
      <w:pPr>
        <w:spacing w:after="0" w:line="240" w:lineRule="auto"/>
      </w:pPr>
    </w:p>
    <w:p w14:paraId="45629C77" w14:textId="17708415" w:rsidR="008724A2" w:rsidRDefault="00335489" w:rsidP="00B17F7C">
      <w:pPr>
        <w:spacing w:after="0" w:line="240" w:lineRule="auto"/>
      </w:pPr>
      <w:r>
        <w:t xml:space="preserve">Las </w:t>
      </w:r>
      <w:r w:rsidRPr="0003401A">
        <w:rPr>
          <w:b/>
        </w:rPr>
        <w:t xml:space="preserve">colectoras </w:t>
      </w:r>
      <w:r w:rsidR="00BA2C8A" w:rsidRPr="0003401A">
        <w:rPr>
          <w:b/>
        </w:rPr>
        <w:t>principales</w:t>
      </w:r>
      <w:r w:rsidR="00BA2C8A">
        <w:t xml:space="preserve"> son las vías existentes y proyectadas que juegan el papel principal en la reconfiguración de un sistema vial de espina de pez en un sistema vial en malla.</w:t>
      </w:r>
      <w:r w:rsidR="00DC5887">
        <w:t xml:space="preserve"> La malla colectora principal </w:t>
      </w:r>
      <w:r w:rsidR="008724A2">
        <w:t>tiene</w:t>
      </w:r>
      <w:r w:rsidR="00DC5887">
        <w:t xml:space="preserve"> dos ejes longitudinales </w:t>
      </w:r>
      <w:r w:rsidR="008724A2">
        <w:t>y seis segmentos transversales uniendo los longitudinales.</w:t>
      </w:r>
    </w:p>
    <w:p w14:paraId="623146A8" w14:textId="77777777" w:rsidR="00B17F7C" w:rsidRDefault="00B17F7C" w:rsidP="00B17F7C">
      <w:pPr>
        <w:spacing w:after="0" w:line="240" w:lineRule="auto"/>
      </w:pPr>
    </w:p>
    <w:p w14:paraId="73195586" w14:textId="684B0678" w:rsidR="00DC5887" w:rsidRDefault="008724A2" w:rsidP="00B17F7C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Los </w:t>
      </w:r>
      <w:r w:rsidRPr="0003401A">
        <w:rPr>
          <w:b/>
        </w:rPr>
        <w:t>ejes longitudinales</w:t>
      </w:r>
      <w:r>
        <w:t xml:space="preserve"> están compuestos por</w:t>
      </w:r>
      <w:r w:rsidR="00DC5887">
        <w:t xml:space="preserve"> la </w:t>
      </w:r>
      <w:r>
        <w:t>calle</w:t>
      </w:r>
      <w:r w:rsidR="00DC5887">
        <w:t xml:space="preserve"> Tambo</w:t>
      </w:r>
      <w:r>
        <w:t xml:space="preserve"> y la calle Gilardi con su continuación hasta la vía </w:t>
      </w:r>
      <w:r w:rsidR="008755D3">
        <w:t>C</w:t>
      </w:r>
      <w:r>
        <w:t>ementerio (AR-814) en el área de reajuste de tierras.</w:t>
      </w:r>
    </w:p>
    <w:p w14:paraId="2DF2DCC8" w14:textId="5287E66E" w:rsidR="008724A2" w:rsidRDefault="008724A2" w:rsidP="00B17F7C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Los </w:t>
      </w:r>
      <w:r w:rsidRPr="0003401A">
        <w:rPr>
          <w:b/>
        </w:rPr>
        <w:t>ejes transversales</w:t>
      </w:r>
      <w:r>
        <w:t xml:space="preserve"> están compuestos </w:t>
      </w:r>
      <w:r w:rsidR="008755D3">
        <w:t>la Cementerio (</w:t>
      </w:r>
      <w:r w:rsidRPr="008755D3">
        <w:t>AR</w:t>
      </w:r>
      <w:r w:rsidR="008755D3">
        <w:t>-</w:t>
      </w:r>
      <w:r w:rsidRPr="008755D3">
        <w:t>814</w:t>
      </w:r>
      <w:r w:rsidR="008755D3">
        <w:t>)</w:t>
      </w:r>
      <w:r w:rsidR="0079066B" w:rsidRPr="008755D3">
        <w:t>,</w:t>
      </w:r>
      <w:r w:rsidRPr="008755D3">
        <w:t xml:space="preserve"> </w:t>
      </w:r>
      <w:r w:rsidR="008755D3" w:rsidRPr="008755D3">
        <w:t xml:space="preserve">Las Gaviotas </w:t>
      </w:r>
      <w:r w:rsidR="008755D3">
        <w:t>(</w:t>
      </w:r>
      <w:r w:rsidR="0079066B" w:rsidRPr="008755D3">
        <w:t>AR</w:t>
      </w:r>
      <w:r w:rsidR="008755D3">
        <w:t>-</w:t>
      </w:r>
      <w:r w:rsidR="0079066B" w:rsidRPr="008755D3">
        <w:t>816</w:t>
      </w:r>
      <w:r w:rsidR="008755D3">
        <w:t>)</w:t>
      </w:r>
      <w:r w:rsidR="0079066B" w:rsidRPr="008755D3">
        <w:t xml:space="preserve">, </w:t>
      </w:r>
      <w:r w:rsidR="008755D3" w:rsidRPr="008755D3">
        <w:t>Las Palmeras</w:t>
      </w:r>
      <w:r w:rsidR="008755D3">
        <w:t>,</w:t>
      </w:r>
      <w:r w:rsidR="008755D3" w:rsidRPr="008755D3">
        <w:t xml:space="preserve"> </w:t>
      </w:r>
      <w:r w:rsidR="008755D3">
        <w:t>La Perla</w:t>
      </w:r>
      <w:r w:rsidR="00C332A9" w:rsidRPr="008755D3">
        <w:t xml:space="preserve">, </w:t>
      </w:r>
      <w:r w:rsidR="008755D3">
        <w:t>San José</w:t>
      </w:r>
      <w:r w:rsidR="0079066B" w:rsidRPr="008755D3">
        <w:t xml:space="preserve"> </w:t>
      </w:r>
      <w:r w:rsidRPr="008755D3">
        <w:t>y la Atahualpa</w:t>
      </w:r>
      <w:r w:rsidR="008755D3">
        <w:t>.</w:t>
      </w:r>
    </w:p>
    <w:p w14:paraId="429FEAC5" w14:textId="77777777" w:rsidR="00B17F7C" w:rsidRDefault="00B17F7C" w:rsidP="00B17F7C">
      <w:pPr>
        <w:pStyle w:val="Prrafodelista"/>
        <w:spacing w:after="0" w:line="240" w:lineRule="auto"/>
        <w:ind w:left="405"/>
      </w:pPr>
    </w:p>
    <w:p w14:paraId="590CBC19" w14:textId="01B37137" w:rsidR="00335489" w:rsidRDefault="00DC5887" w:rsidP="00B17F7C">
      <w:pPr>
        <w:spacing w:after="0" w:line="240" w:lineRule="auto"/>
      </w:pPr>
      <w:r>
        <w:t xml:space="preserve">Las colectoras </w:t>
      </w:r>
      <w:r w:rsidR="0079066B">
        <w:t xml:space="preserve">principales </w:t>
      </w:r>
      <w:r>
        <w:t>priorizan la fluidez de la malla y una velocidad promedio de 50 km/h, permitiendo hacer el circuito</w:t>
      </w:r>
      <w:r w:rsidR="00BA2C8A">
        <w:t xml:space="preserve"> </w:t>
      </w:r>
      <w:r>
        <w:t xml:space="preserve">de ida y vuelta en su mayor dimensión en aproximadamente 5 minutos. Dada las </w:t>
      </w:r>
      <w:r w:rsidR="0035525A">
        <w:t xml:space="preserve">irregulares y por segmentos </w:t>
      </w:r>
      <w:r w:rsidR="0003401A">
        <w:t xml:space="preserve">de </w:t>
      </w:r>
      <w:r w:rsidR="0035525A">
        <w:t xml:space="preserve">escasas dimensiones, que se estrechan hasta </w:t>
      </w:r>
      <w:r w:rsidR="0035525A">
        <w:lastRenderedPageBreak/>
        <w:t>9 metros de ancho, en las colectoras principales prioriza</w:t>
      </w:r>
      <w:r w:rsidR="0003401A">
        <w:t>n</w:t>
      </w:r>
      <w:r w:rsidR="0035525A">
        <w:t xml:space="preserve"> el ancho de </w:t>
      </w:r>
      <w:r w:rsidR="0003401A">
        <w:t xml:space="preserve">3,60 m por </w:t>
      </w:r>
      <w:r w:rsidR="004508FC">
        <w:t>carril</w:t>
      </w:r>
      <w:r w:rsidR="0003401A">
        <w:t xml:space="preserve"> para permitir la circulación de dos vehículos en el mismo sentido.</w:t>
      </w:r>
      <w:r w:rsidR="004508FC">
        <w:t xml:space="preserve"> </w:t>
      </w:r>
      <w:r w:rsidR="0003401A">
        <w:t xml:space="preserve">Las colectoras principales </w:t>
      </w:r>
      <w:r w:rsidR="004508FC">
        <w:t>funcion</w:t>
      </w:r>
      <w:r w:rsidR="0003401A">
        <w:t xml:space="preserve">an </w:t>
      </w:r>
      <w:r w:rsidR="004508FC">
        <w:t>como pares viales</w:t>
      </w:r>
      <w:r w:rsidR="0003401A">
        <w:t>, en las que</w:t>
      </w:r>
      <w:r w:rsidR="004508FC">
        <w:t xml:space="preserve"> se disminuyen intrusiones como estacionamientos en vía</w:t>
      </w:r>
      <w:r w:rsidR="00D56C32">
        <w:t xml:space="preserve"> </w:t>
      </w:r>
      <w:r w:rsidR="0003401A">
        <w:t>o</w:t>
      </w:r>
      <w:r w:rsidR="004508FC">
        <w:t xml:space="preserve"> aportes de vías locales.</w:t>
      </w:r>
      <w:r w:rsidR="0035525A">
        <w:t xml:space="preserve"> </w:t>
      </w:r>
    </w:p>
    <w:p w14:paraId="5C0B0832" w14:textId="77777777" w:rsidR="006839C2" w:rsidRDefault="006839C2" w:rsidP="00B17F7C">
      <w:pPr>
        <w:spacing w:after="0" w:line="240" w:lineRule="auto"/>
      </w:pPr>
    </w:p>
    <w:p w14:paraId="4404B693" w14:textId="2E464F5E" w:rsidR="00D56C32" w:rsidRDefault="00D56C32" w:rsidP="00B17F7C">
      <w:pPr>
        <w:spacing w:after="0" w:line="240" w:lineRule="auto"/>
      </w:pPr>
      <w:r>
        <w:t xml:space="preserve">Las </w:t>
      </w:r>
      <w:r w:rsidRPr="0003401A">
        <w:rPr>
          <w:b/>
        </w:rPr>
        <w:t>colectoras secundarias</w:t>
      </w:r>
      <w:r>
        <w:t xml:space="preserve"> </w:t>
      </w:r>
      <w:r w:rsidR="00DE37F2">
        <w:t xml:space="preserve">tienen la función de articular las </w:t>
      </w:r>
      <w:r w:rsidR="00DE37F2" w:rsidRPr="0003401A">
        <w:t>colectoras principales</w:t>
      </w:r>
      <w:r w:rsidR="00DE37F2">
        <w:t xml:space="preserve"> con las vías locales, cuya articulación directa se minimiza con la finalidad de aumentar la eficiencia de las </w:t>
      </w:r>
      <w:r w:rsidR="002814B7">
        <w:t xml:space="preserve">colectoras principales. Las colectoras secundarias también tienen la función de absorber los estacionamientos de vehículos de </w:t>
      </w:r>
      <w:r w:rsidR="0003401A">
        <w:t>visitantes</w:t>
      </w:r>
      <w:r w:rsidR="002814B7">
        <w:t xml:space="preserve"> que no pueden ser emplazados en las colectoras principales. Las colectoras secundarias pueden tener circulación en uno o dos sentidos </w:t>
      </w:r>
      <w:r w:rsidR="00C332A9">
        <w:t xml:space="preserve">dependiendo de su conjugación con colectoras principales o secundarias. Las colectoras secundarias </w:t>
      </w:r>
      <w:r w:rsidR="002814B7">
        <w:t>son proyectadas para tener una velocidad promedio de 40 km/h</w:t>
      </w:r>
      <w:r w:rsidR="00C332A9">
        <w:t>.</w:t>
      </w:r>
    </w:p>
    <w:p w14:paraId="5A5F9486" w14:textId="77777777" w:rsidR="006839C2" w:rsidRDefault="006839C2" w:rsidP="00B17F7C">
      <w:pPr>
        <w:spacing w:after="0" w:line="240" w:lineRule="auto"/>
      </w:pPr>
    </w:p>
    <w:p w14:paraId="41C57624" w14:textId="4BFCD6C1" w:rsidR="00C332A9" w:rsidRDefault="00C332A9" w:rsidP="00B17F7C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Las </w:t>
      </w:r>
      <w:r w:rsidRPr="0003401A">
        <w:rPr>
          <w:b/>
          <w:lang w:val="es-ES"/>
        </w:rPr>
        <w:t>vías locales</w:t>
      </w:r>
      <w:r w:rsidR="00B2697E" w:rsidRPr="0003401A">
        <w:rPr>
          <w:b/>
          <w:lang w:val="es-ES"/>
        </w:rPr>
        <w:t xml:space="preserve"> </w:t>
      </w:r>
      <w:r w:rsidR="00D5549F" w:rsidRPr="0003401A">
        <w:rPr>
          <w:b/>
          <w:lang w:val="es-ES"/>
        </w:rPr>
        <w:t xml:space="preserve">treinta </w:t>
      </w:r>
      <w:r w:rsidR="000734A8">
        <w:rPr>
          <w:lang w:val="es-ES"/>
        </w:rPr>
        <w:t xml:space="preserve">son las encargadas de </w:t>
      </w:r>
      <w:r w:rsidR="0003401A">
        <w:rPr>
          <w:lang w:val="es-ES"/>
        </w:rPr>
        <w:t>servir</w:t>
      </w:r>
      <w:r w:rsidR="000734A8">
        <w:rPr>
          <w:lang w:val="es-ES"/>
        </w:rPr>
        <w:t xml:space="preserve"> las </w:t>
      </w:r>
      <w:r w:rsidR="00F45FC6">
        <w:rPr>
          <w:lang w:val="es-ES"/>
        </w:rPr>
        <w:t>super</w:t>
      </w:r>
      <w:r w:rsidR="000734A8">
        <w:rPr>
          <w:lang w:val="es-ES"/>
        </w:rPr>
        <w:t>manzanas</w:t>
      </w:r>
      <w:r w:rsidR="004B2720">
        <w:rPr>
          <w:rStyle w:val="Refdenotaalpie"/>
          <w:lang w:val="es-ES"/>
        </w:rPr>
        <w:footnoteReference w:id="1"/>
      </w:r>
      <w:r w:rsidR="000734A8">
        <w:rPr>
          <w:lang w:val="es-ES"/>
        </w:rPr>
        <w:t xml:space="preserve">, priorizando al </w:t>
      </w:r>
      <w:r w:rsidR="000734A8" w:rsidRPr="00AD1425">
        <w:t xml:space="preserve">peatón y </w:t>
      </w:r>
      <w:r w:rsidR="00AD1425">
        <w:t xml:space="preserve">a </w:t>
      </w:r>
      <w:r w:rsidR="000734A8" w:rsidRPr="00AD1425">
        <w:t xml:space="preserve">la micromovilidad en el uso compartido de la vía pública, para </w:t>
      </w:r>
      <w:r w:rsidR="0003401A">
        <w:t>lo cual se</w:t>
      </w:r>
      <w:r w:rsidR="000734A8" w:rsidRPr="00AD1425">
        <w:t xml:space="preserve"> reduce la velocidad del </w:t>
      </w:r>
      <w:r w:rsidR="000734A8">
        <w:rPr>
          <w:lang w:val="es-ES"/>
        </w:rPr>
        <w:t>tránsito motorizado a 30km/h</w:t>
      </w:r>
      <w:r w:rsidR="0088471B">
        <w:rPr>
          <w:lang w:val="es-ES"/>
        </w:rPr>
        <w:t xml:space="preserve"> con estrategias de diseño como </w:t>
      </w:r>
      <w:r w:rsidR="00877B35">
        <w:rPr>
          <w:lang w:val="es-ES"/>
        </w:rPr>
        <w:t xml:space="preserve">cruzamientos a nivel de vereda de </w:t>
      </w:r>
      <w:r w:rsidR="004B2720">
        <w:rPr>
          <w:lang w:val="es-ES"/>
        </w:rPr>
        <w:t>peatones</w:t>
      </w:r>
      <w:r w:rsidR="00877B35">
        <w:rPr>
          <w:lang w:val="es-ES"/>
        </w:rPr>
        <w:t xml:space="preserve"> y </w:t>
      </w:r>
      <w:r w:rsidR="004B2720">
        <w:rPr>
          <w:lang w:val="es-ES"/>
        </w:rPr>
        <w:t>carriles</w:t>
      </w:r>
      <w:r w:rsidR="0088471B">
        <w:rPr>
          <w:lang w:val="es-ES"/>
        </w:rPr>
        <w:t xml:space="preserve"> </w:t>
      </w:r>
      <w:r w:rsidR="004B2720">
        <w:rPr>
          <w:lang w:val="es-ES"/>
        </w:rPr>
        <w:t>vehiculares</w:t>
      </w:r>
      <w:r w:rsidR="0088471B">
        <w:rPr>
          <w:lang w:val="es-ES"/>
        </w:rPr>
        <w:t xml:space="preserve"> serpenteantes</w:t>
      </w:r>
      <w:r w:rsidR="00877B35">
        <w:rPr>
          <w:lang w:val="es-ES"/>
        </w:rPr>
        <w:t xml:space="preserve">, utilizando fajas de estacionamiento alternados a ambos lados de vía, arborización y mobiliario urbano como reductores de velocidad. </w:t>
      </w:r>
      <w:r w:rsidR="00B2697E">
        <w:rPr>
          <w:lang w:val="es-ES"/>
        </w:rPr>
        <w:t xml:space="preserve">Estas calles son internacionalmente conocidas como calles 30 porque con esta velocidad de diseño la incidencia de accidentes graves o fatales se reduce en un 80%. </w:t>
      </w:r>
      <w:r w:rsidR="00AD1425">
        <w:rPr>
          <w:lang w:val="es-ES"/>
        </w:rPr>
        <w:t xml:space="preserve">La posibilidad de arborización intensiva </w:t>
      </w:r>
      <w:r w:rsidR="00B2697E">
        <w:rPr>
          <w:lang w:val="es-ES"/>
        </w:rPr>
        <w:t>mejora las condiciones ambientales del espacio público y mejoran la caminabilidad de la ciudad.</w:t>
      </w:r>
    </w:p>
    <w:p w14:paraId="23056C70" w14:textId="221DBA1D" w:rsidR="00B2697E" w:rsidRDefault="00B2697E" w:rsidP="00B17F7C">
      <w:pPr>
        <w:pStyle w:val="Sinespaciado"/>
        <w:jc w:val="both"/>
        <w:rPr>
          <w:lang w:val="es-ES"/>
        </w:rPr>
      </w:pPr>
    </w:p>
    <w:p w14:paraId="6979B191" w14:textId="5A0D4219" w:rsidR="00B2697E" w:rsidRDefault="00467711" w:rsidP="00B17F7C">
      <w:pPr>
        <w:pStyle w:val="Sinespaciado"/>
        <w:jc w:val="both"/>
        <w:rPr>
          <w:lang w:val="es-ES"/>
        </w:rPr>
      </w:pPr>
      <w:r>
        <w:rPr>
          <w:lang w:val="es-ES"/>
        </w:rPr>
        <w:t xml:space="preserve">Las </w:t>
      </w:r>
      <w:r w:rsidRPr="004B2720">
        <w:rPr>
          <w:b/>
          <w:lang w:val="es-ES"/>
        </w:rPr>
        <w:t>vías locales segregadas</w:t>
      </w:r>
      <w:r>
        <w:rPr>
          <w:lang w:val="es-ES"/>
        </w:rPr>
        <w:t xml:space="preserve"> son encargadas de </w:t>
      </w:r>
      <w:r w:rsidR="004B2720">
        <w:rPr>
          <w:lang w:val="es-ES"/>
        </w:rPr>
        <w:t>servir</w:t>
      </w:r>
      <w:r>
        <w:rPr>
          <w:lang w:val="es-ES"/>
        </w:rPr>
        <w:t xml:space="preserve"> bolsones urbanos y </w:t>
      </w:r>
      <w:r w:rsidR="00D5549F">
        <w:rPr>
          <w:lang w:val="es-ES"/>
        </w:rPr>
        <w:t xml:space="preserve">pequeños fragmentos de </w:t>
      </w:r>
      <w:r>
        <w:rPr>
          <w:lang w:val="es-ES"/>
        </w:rPr>
        <w:t xml:space="preserve">tejido </w:t>
      </w:r>
      <w:r w:rsidR="00D5549F">
        <w:rPr>
          <w:lang w:val="es-ES"/>
        </w:rPr>
        <w:t xml:space="preserve">urbano </w:t>
      </w:r>
      <w:r>
        <w:rPr>
          <w:lang w:val="es-ES"/>
        </w:rPr>
        <w:t xml:space="preserve">donde </w:t>
      </w:r>
      <w:r w:rsidR="00D5549F">
        <w:rPr>
          <w:lang w:val="es-ES"/>
        </w:rPr>
        <w:t xml:space="preserve">una estrategia de diseño </w:t>
      </w:r>
      <w:r>
        <w:rPr>
          <w:lang w:val="es-ES"/>
        </w:rPr>
        <w:t xml:space="preserve">no </w:t>
      </w:r>
      <w:r w:rsidR="00CB4124">
        <w:rPr>
          <w:lang w:val="es-ES"/>
        </w:rPr>
        <w:t xml:space="preserve">pueda </w:t>
      </w:r>
      <w:r>
        <w:rPr>
          <w:lang w:val="es-ES"/>
        </w:rPr>
        <w:t>garantizar la reducción de velocidad</w:t>
      </w:r>
      <w:r w:rsidR="00D5549F">
        <w:rPr>
          <w:lang w:val="es-ES"/>
        </w:rPr>
        <w:t xml:space="preserve">, por lo que se opta por </w:t>
      </w:r>
      <w:r w:rsidR="008D3FB2">
        <w:rPr>
          <w:lang w:val="es-ES"/>
        </w:rPr>
        <w:t xml:space="preserve">la solución </w:t>
      </w:r>
      <w:r w:rsidR="004B2720">
        <w:rPr>
          <w:lang w:val="es-ES"/>
        </w:rPr>
        <w:t>usual</w:t>
      </w:r>
      <w:r w:rsidR="008D3FB2">
        <w:rPr>
          <w:lang w:val="es-ES"/>
        </w:rPr>
        <w:t xml:space="preserve"> de </w:t>
      </w:r>
      <w:r w:rsidR="00D5549F">
        <w:rPr>
          <w:lang w:val="es-ES"/>
        </w:rPr>
        <w:t xml:space="preserve">segregar al </w:t>
      </w:r>
      <w:r w:rsidR="004B2720">
        <w:rPr>
          <w:lang w:val="es-ES"/>
        </w:rPr>
        <w:t>peatón</w:t>
      </w:r>
      <w:r w:rsidR="00D5549F">
        <w:rPr>
          <w:lang w:val="es-ES"/>
        </w:rPr>
        <w:t xml:space="preserve"> y el tránsito vehicular con veredas a desnivel.</w:t>
      </w:r>
    </w:p>
    <w:p w14:paraId="6103BF2B" w14:textId="67C9C6F6" w:rsidR="00FB7C8F" w:rsidRDefault="00FB7C8F" w:rsidP="00B17F7C">
      <w:pPr>
        <w:pStyle w:val="Sinespaciado"/>
        <w:jc w:val="both"/>
        <w:rPr>
          <w:lang w:val="es-ES"/>
        </w:rPr>
      </w:pPr>
    </w:p>
    <w:p w14:paraId="12EAF873" w14:textId="46D52658" w:rsidR="00215224" w:rsidRDefault="004B2720" w:rsidP="00B17F7C">
      <w:pPr>
        <w:spacing w:after="0" w:line="240" w:lineRule="auto"/>
        <w:rPr>
          <w:lang w:val="es-419"/>
        </w:rPr>
      </w:pPr>
      <w:r>
        <w:rPr>
          <w:lang w:val="es-ES"/>
        </w:rPr>
        <w:t>Lo</w:t>
      </w:r>
      <w:r w:rsidR="00FB7C8F">
        <w:rPr>
          <w:lang w:val="es-ES"/>
        </w:rPr>
        <w:t xml:space="preserve">s </w:t>
      </w:r>
      <w:r>
        <w:rPr>
          <w:b/>
          <w:lang w:val="es-ES"/>
        </w:rPr>
        <w:t>paseos</w:t>
      </w:r>
      <w:r w:rsidR="00FB7C8F">
        <w:rPr>
          <w:lang w:val="es-ES"/>
        </w:rPr>
        <w:t xml:space="preserve"> son vías destinadas a paseos peatonales y/o de micromovilidad pero que permiten el acceso de vehículos de servicio como ambulancias, patrulleros o de manten</w:t>
      </w:r>
      <w:r>
        <w:rPr>
          <w:lang w:val="es-ES"/>
        </w:rPr>
        <w:t>imiento.</w:t>
      </w:r>
      <w:r w:rsidR="00FB7C8F">
        <w:rPr>
          <w:lang w:val="es-ES"/>
        </w:rPr>
        <w:t xml:space="preserve"> </w:t>
      </w:r>
      <w:r>
        <w:rPr>
          <w:lang w:val="es-ES"/>
        </w:rPr>
        <w:t>E</w:t>
      </w:r>
      <w:r w:rsidR="00FB7C8F">
        <w:rPr>
          <w:lang w:val="es-ES"/>
        </w:rPr>
        <w:t>n caso de necesidad</w:t>
      </w:r>
      <w:r>
        <w:rPr>
          <w:lang w:val="es-ES"/>
        </w:rPr>
        <w:t>,</w:t>
      </w:r>
      <w:r w:rsidR="00FB7C8F">
        <w:rPr>
          <w:lang w:val="es-ES"/>
        </w:rPr>
        <w:t xml:space="preserve"> la </w:t>
      </w:r>
      <w:r>
        <w:rPr>
          <w:lang w:val="es-ES"/>
        </w:rPr>
        <w:t xml:space="preserve">velocidad de </w:t>
      </w:r>
      <w:r w:rsidR="00FB7C8F">
        <w:rPr>
          <w:lang w:val="es-ES"/>
        </w:rPr>
        <w:t xml:space="preserve">circulación de estas unidades no podrá ser superior a los 40 km/h con sirenas </w:t>
      </w:r>
      <w:r>
        <w:rPr>
          <w:lang w:val="es-ES"/>
        </w:rPr>
        <w:t>encendidas</w:t>
      </w:r>
      <w:r w:rsidR="00FB7C8F">
        <w:rPr>
          <w:lang w:val="es-ES"/>
        </w:rPr>
        <w:t>. La circulación de otros vehículos es</w:t>
      </w:r>
      <w:r w:rsidR="00A86EBC">
        <w:rPr>
          <w:lang w:val="es-ES"/>
        </w:rPr>
        <w:t>tá</w:t>
      </w:r>
      <w:r w:rsidR="00FB7C8F">
        <w:rPr>
          <w:lang w:val="es-ES"/>
        </w:rPr>
        <w:t xml:space="preserve"> vetada y deberá ser multada con </w:t>
      </w:r>
      <w:r w:rsidR="00206DEE">
        <w:rPr>
          <w:lang w:val="es-ES"/>
        </w:rPr>
        <w:t xml:space="preserve">el mismo rigor para circulación en </w:t>
      </w:r>
      <w:r>
        <w:rPr>
          <w:lang w:val="es-ES"/>
        </w:rPr>
        <w:t>vías</w:t>
      </w:r>
      <w:r w:rsidR="00206DEE">
        <w:rPr>
          <w:lang w:val="es-ES"/>
        </w:rPr>
        <w:t xml:space="preserve"> peatonales.</w:t>
      </w:r>
      <w:r w:rsidR="00FB7C8F">
        <w:rPr>
          <w:lang w:val="es-ES"/>
        </w:rPr>
        <w:t xml:space="preserve"> </w:t>
      </w:r>
      <w:r>
        <w:rPr>
          <w:lang w:val="es-ES"/>
        </w:rPr>
        <w:t xml:space="preserve">El </w:t>
      </w:r>
      <w:r w:rsidR="000B1C99">
        <w:rPr>
          <w:lang w:val="es-ES"/>
        </w:rPr>
        <w:t xml:space="preserve">principal </w:t>
      </w:r>
      <w:r>
        <w:rPr>
          <w:lang w:val="es-ES"/>
        </w:rPr>
        <w:t xml:space="preserve">paseo con uso permitido </w:t>
      </w:r>
      <w:r w:rsidR="000B1C99">
        <w:rPr>
          <w:lang w:val="es-ES"/>
        </w:rPr>
        <w:t>de emergencia está sobre el antiguo trazado de la línea del tren, las otras son vías y servidumbres como rutas de escape de tsunami.</w:t>
      </w:r>
      <w:r w:rsidR="006839C2">
        <w:rPr>
          <w:lang w:val="es-ES"/>
        </w:rPr>
        <w:t xml:space="preserve"> </w:t>
      </w:r>
      <w:r w:rsidR="00983223">
        <w:rPr>
          <w:lang w:val="es-419"/>
        </w:rPr>
        <w:t>El proyecto en ejecución de</w:t>
      </w:r>
      <w:r w:rsidR="009F0BC1">
        <w:rPr>
          <w:lang w:val="es-419"/>
        </w:rPr>
        <w:t>l paseo</w:t>
      </w:r>
      <w:r w:rsidR="00983223">
        <w:rPr>
          <w:lang w:val="es-419"/>
        </w:rPr>
        <w:t xml:space="preserve"> principal tendrá que ser adaptado para la entrada de los vehículos de </w:t>
      </w:r>
      <w:r w:rsidR="009F0BC1">
        <w:rPr>
          <w:lang w:val="es-419"/>
        </w:rPr>
        <w:t>servicio</w:t>
      </w:r>
      <w:r w:rsidR="00983223">
        <w:rPr>
          <w:lang w:val="es-419"/>
        </w:rPr>
        <w:t>.</w:t>
      </w:r>
    </w:p>
    <w:p w14:paraId="79D9CC07" w14:textId="77777777" w:rsidR="006839C2" w:rsidRDefault="006839C2" w:rsidP="00B17F7C">
      <w:pPr>
        <w:spacing w:after="0" w:line="240" w:lineRule="auto"/>
        <w:rPr>
          <w:lang w:val="es-419"/>
        </w:rPr>
      </w:pPr>
    </w:p>
    <w:p w14:paraId="160B8C69" w14:textId="52981259" w:rsidR="00215224" w:rsidRDefault="00215224" w:rsidP="00B17F7C">
      <w:pPr>
        <w:spacing w:after="0" w:line="240" w:lineRule="auto"/>
        <w:rPr>
          <w:lang w:val="es-419"/>
        </w:rPr>
      </w:pPr>
      <w:r>
        <w:rPr>
          <w:lang w:val="es-419"/>
        </w:rPr>
        <w:t xml:space="preserve">La zona de expansión urbana inmediata en la Zona de reajuste de tierras tendrá un paseo de borde urbano en el límite con la Zona Agrícola, cuya cesión de área </w:t>
      </w:r>
      <w:r w:rsidR="00A86EBC">
        <w:rPr>
          <w:lang w:val="es-419"/>
        </w:rPr>
        <w:t>es</w:t>
      </w:r>
      <w:r>
        <w:rPr>
          <w:lang w:val="es-419"/>
        </w:rPr>
        <w:t xml:space="preserve"> parte del programa de reajuste de tierras.</w:t>
      </w:r>
    </w:p>
    <w:p w14:paraId="25CD4AA9" w14:textId="77777777" w:rsidR="006839C2" w:rsidRPr="00215224" w:rsidRDefault="006839C2" w:rsidP="00B17F7C">
      <w:pPr>
        <w:spacing w:after="0" w:line="240" w:lineRule="auto"/>
        <w:rPr>
          <w:lang w:val="es-ES"/>
        </w:rPr>
      </w:pPr>
    </w:p>
    <w:p w14:paraId="0897E94F" w14:textId="7A2CDAA7" w:rsidR="00215224" w:rsidRDefault="00215224" w:rsidP="00B17F7C">
      <w:pPr>
        <w:spacing w:after="0" w:line="240" w:lineRule="auto"/>
        <w:rPr>
          <w:lang w:val="es-419"/>
        </w:rPr>
      </w:pPr>
      <w:r>
        <w:rPr>
          <w:lang w:val="es-419"/>
        </w:rPr>
        <w:t>Adicionalmente</w:t>
      </w:r>
      <w:r w:rsidR="00A86EBC">
        <w:rPr>
          <w:lang w:val="es-419"/>
        </w:rPr>
        <w:t>,</w:t>
      </w:r>
      <w:r>
        <w:rPr>
          <w:lang w:val="es-419"/>
        </w:rPr>
        <w:t xml:space="preserve"> se podrá hacer un estudio de impacto y viabilidad de un paseo playero entre la faja urbanizada y la línea de marea alta.</w:t>
      </w:r>
    </w:p>
    <w:p w14:paraId="157C0D98" w14:textId="77777777" w:rsidR="006839C2" w:rsidRPr="00983223" w:rsidRDefault="006839C2" w:rsidP="00B17F7C">
      <w:pPr>
        <w:spacing w:after="0" w:line="240" w:lineRule="auto"/>
        <w:rPr>
          <w:lang w:val="es-419"/>
        </w:rPr>
      </w:pPr>
    </w:p>
    <w:p w14:paraId="42209F17" w14:textId="5F8F88F2" w:rsidR="00551DA5" w:rsidRDefault="00551DA5" w:rsidP="00B17F7C">
      <w:pPr>
        <w:pStyle w:val="Sinespaciado"/>
        <w:jc w:val="both"/>
        <w:rPr>
          <w:lang w:val="es-ES"/>
        </w:rPr>
      </w:pPr>
      <w:r>
        <w:rPr>
          <w:lang w:val="es-ES"/>
        </w:rPr>
        <w:t>Dad</w:t>
      </w:r>
      <w:r w:rsidR="006839C2">
        <w:rPr>
          <w:lang w:val="es-ES"/>
        </w:rPr>
        <w:t>a</w:t>
      </w:r>
      <w:r>
        <w:rPr>
          <w:lang w:val="es-ES"/>
        </w:rPr>
        <w:t xml:space="preserve"> la irregularidad del ancho de vías</w:t>
      </w:r>
      <w:r w:rsidR="006839C2">
        <w:rPr>
          <w:lang w:val="es-ES"/>
        </w:rPr>
        <w:t>,</w:t>
      </w:r>
      <w:r>
        <w:rPr>
          <w:lang w:val="es-ES"/>
        </w:rPr>
        <w:t xml:space="preserve"> el Equipo Técnico del EOU</w:t>
      </w:r>
      <w:r w:rsidR="002148BE">
        <w:rPr>
          <w:lang w:val="es-ES"/>
        </w:rPr>
        <w:t xml:space="preserve"> propone priorizar su conectividad y sus componentes de acuerdo a su categorización según la siguiente tabla:</w:t>
      </w:r>
    </w:p>
    <w:p w14:paraId="269D2FFF" w14:textId="774711A4" w:rsidR="00F45FC6" w:rsidRDefault="00F45FC6" w:rsidP="00B17F7C">
      <w:pPr>
        <w:spacing w:after="0" w:line="240" w:lineRule="auto"/>
        <w:rPr>
          <w:lang w:val="es-ES"/>
        </w:rPr>
      </w:pPr>
      <w:r>
        <w:rPr>
          <w:lang w:val="es-ES"/>
        </w:rPr>
        <w:br w:type="page"/>
      </w:r>
    </w:p>
    <w:p w14:paraId="7C7CAFC5" w14:textId="77777777" w:rsidR="00F45FC6" w:rsidRDefault="00F45FC6" w:rsidP="00B17F7C">
      <w:pPr>
        <w:pStyle w:val="Sinespaciado"/>
        <w:jc w:val="both"/>
        <w:rPr>
          <w:lang w:val="es-ES"/>
        </w:rPr>
      </w:pPr>
    </w:p>
    <w:tbl>
      <w:tblPr>
        <w:tblStyle w:val="Tablaconcuadrcula"/>
        <w:tblW w:w="102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2"/>
        <w:gridCol w:w="478"/>
        <w:gridCol w:w="478"/>
        <w:gridCol w:w="479"/>
        <w:gridCol w:w="478"/>
        <w:gridCol w:w="479"/>
        <w:gridCol w:w="478"/>
        <w:gridCol w:w="479"/>
        <w:gridCol w:w="478"/>
        <w:gridCol w:w="478"/>
        <w:gridCol w:w="479"/>
        <w:gridCol w:w="478"/>
        <w:gridCol w:w="478"/>
        <w:gridCol w:w="479"/>
        <w:gridCol w:w="478"/>
        <w:gridCol w:w="479"/>
        <w:gridCol w:w="478"/>
        <w:gridCol w:w="479"/>
      </w:tblGrid>
      <w:tr w:rsidR="002C7B0A" w:rsidRPr="008A5BF8" w14:paraId="640E6A58" w14:textId="77777777" w:rsidTr="00373C2B">
        <w:tc>
          <w:tcPr>
            <w:tcW w:w="2122" w:type="dxa"/>
          </w:tcPr>
          <w:p w14:paraId="2BA34597" w14:textId="1221FD7A" w:rsidR="002C7B0A" w:rsidRPr="008A5BF8" w:rsidRDefault="002C7B0A" w:rsidP="00A86EBC">
            <w:pPr>
              <w:pStyle w:val="Sinespaciado"/>
              <w:jc w:val="center"/>
              <w:rPr>
                <w:sz w:val="20"/>
              </w:rPr>
            </w:pPr>
            <w:r w:rsidRPr="008A5BF8">
              <w:rPr>
                <w:sz w:val="20"/>
              </w:rPr>
              <w:t>Tipo de vía</w:t>
            </w:r>
          </w:p>
        </w:tc>
        <w:tc>
          <w:tcPr>
            <w:tcW w:w="5740" w:type="dxa"/>
            <w:gridSpan w:val="12"/>
          </w:tcPr>
          <w:p w14:paraId="6176B590" w14:textId="3D7CF51F" w:rsidR="002C7B0A" w:rsidRPr="008A5BF8" w:rsidRDefault="002C7B0A" w:rsidP="00A86EBC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PRIORIDAD</w:t>
            </w:r>
          </w:p>
        </w:tc>
        <w:tc>
          <w:tcPr>
            <w:tcW w:w="2393" w:type="dxa"/>
            <w:gridSpan w:val="5"/>
          </w:tcPr>
          <w:p w14:paraId="4053A5DA" w14:textId="769F135A" w:rsidR="002C7B0A" w:rsidRPr="008A5BF8" w:rsidRDefault="002C7B0A" w:rsidP="00A86EBC">
            <w:pPr>
              <w:pStyle w:val="Sinespaciado"/>
              <w:jc w:val="center"/>
              <w:rPr>
                <w:sz w:val="20"/>
              </w:rPr>
            </w:pPr>
            <w:r>
              <w:rPr>
                <w:sz w:val="20"/>
              </w:rPr>
              <w:t>CONECTIVIDAD</w:t>
            </w:r>
          </w:p>
        </w:tc>
      </w:tr>
      <w:tr w:rsidR="00F214A2" w:rsidRPr="008A5BF8" w14:paraId="2229E5CF" w14:textId="77777777" w:rsidTr="00F214A2">
        <w:trPr>
          <w:cantSplit/>
          <w:trHeight w:val="2843"/>
        </w:trPr>
        <w:tc>
          <w:tcPr>
            <w:tcW w:w="2122" w:type="dxa"/>
          </w:tcPr>
          <w:p w14:paraId="18129D1E" w14:textId="77777777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</w:p>
        </w:tc>
        <w:tc>
          <w:tcPr>
            <w:tcW w:w="478" w:type="dxa"/>
            <w:textDirection w:val="btLr"/>
          </w:tcPr>
          <w:p w14:paraId="1D225800" w14:textId="7A71A582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Dos carriles entre  3,60 y 3,50</w:t>
            </w:r>
          </w:p>
        </w:tc>
        <w:tc>
          <w:tcPr>
            <w:tcW w:w="478" w:type="dxa"/>
            <w:textDirection w:val="btLr"/>
          </w:tcPr>
          <w:p w14:paraId="4996B225" w14:textId="05D2EA1A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A5BF8">
              <w:rPr>
                <w:sz w:val="20"/>
              </w:rPr>
              <w:t>Dos carriles entre  3,40 y 3,30</w:t>
            </w:r>
          </w:p>
        </w:tc>
        <w:tc>
          <w:tcPr>
            <w:tcW w:w="479" w:type="dxa"/>
            <w:textDirection w:val="btLr"/>
          </w:tcPr>
          <w:p w14:paraId="353D0D7C" w14:textId="4C0C101C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A5BF8">
              <w:rPr>
                <w:sz w:val="20"/>
              </w:rPr>
              <w:t>Un carril entre  3,20 y 3,00</w:t>
            </w:r>
          </w:p>
        </w:tc>
        <w:tc>
          <w:tcPr>
            <w:tcW w:w="478" w:type="dxa"/>
            <w:textDirection w:val="btLr"/>
          </w:tcPr>
          <w:p w14:paraId="52FBCAC4" w14:textId="1E52D6A9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Estacionamiento alineado </w:t>
            </w:r>
          </w:p>
        </w:tc>
        <w:tc>
          <w:tcPr>
            <w:tcW w:w="479" w:type="dxa"/>
            <w:textDirection w:val="btLr"/>
          </w:tcPr>
          <w:p w14:paraId="7712D451" w14:textId="78234CB1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Estacionamiento a 45 o 90</w:t>
            </w:r>
          </w:p>
        </w:tc>
        <w:tc>
          <w:tcPr>
            <w:tcW w:w="478" w:type="dxa"/>
            <w:textDirection w:val="btLr"/>
          </w:tcPr>
          <w:p w14:paraId="023B11F0" w14:textId="16E74A20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Cruce a nivel de vereda</w:t>
            </w:r>
          </w:p>
        </w:tc>
        <w:tc>
          <w:tcPr>
            <w:tcW w:w="479" w:type="dxa"/>
            <w:textDirection w:val="btLr"/>
          </w:tcPr>
          <w:p w14:paraId="2F2BC708" w14:textId="42135EEE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Vereda segregada</w:t>
            </w:r>
          </w:p>
        </w:tc>
        <w:tc>
          <w:tcPr>
            <w:tcW w:w="478" w:type="dxa"/>
            <w:textDirection w:val="btLr"/>
          </w:tcPr>
          <w:p w14:paraId="3D7F4325" w14:textId="7C2D97DD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Veredas entre 1,50 y 1,20m</w:t>
            </w:r>
          </w:p>
        </w:tc>
        <w:tc>
          <w:tcPr>
            <w:tcW w:w="478" w:type="dxa"/>
            <w:textDirection w:val="btLr"/>
          </w:tcPr>
          <w:p w14:paraId="563FA6A0" w14:textId="7C27FD75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Ciclovías mayores a 2,10m</w:t>
            </w:r>
          </w:p>
        </w:tc>
        <w:tc>
          <w:tcPr>
            <w:tcW w:w="479" w:type="dxa"/>
            <w:textDirection w:val="btLr"/>
          </w:tcPr>
          <w:p w14:paraId="29A7CAF3" w14:textId="25335B3B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Bermas laterales ajardinadas</w:t>
            </w:r>
          </w:p>
        </w:tc>
        <w:tc>
          <w:tcPr>
            <w:tcW w:w="478" w:type="dxa"/>
            <w:textDirection w:val="btLr"/>
          </w:tcPr>
          <w:p w14:paraId="116F3193" w14:textId="71F942C4" w:rsidR="00F214A2" w:rsidRDefault="00F214A2" w:rsidP="006839C2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Parklet </w:t>
            </w:r>
            <w:r w:rsidR="002C7B0A">
              <w:rPr>
                <w:sz w:val="20"/>
              </w:rPr>
              <w:t>–</w:t>
            </w:r>
            <w:r>
              <w:rPr>
                <w:sz w:val="20"/>
              </w:rPr>
              <w:t xml:space="preserve"> miniparque</w:t>
            </w:r>
            <w:r w:rsidR="002C7B0A">
              <w:rPr>
                <w:sz w:val="20"/>
              </w:rPr>
              <w:t xml:space="preserve"> en vereda</w:t>
            </w:r>
          </w:p>
        </w:tc>
        <w:tc>
          <w:tcPr>
            <w:tcW w:w="478" w:type="dxa"/>
            <w:textDirection w:val="btLr"/>
          </w:tcPr>
          <w:p w14:paraId="62E82D34" w14:textId="5AFCF807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Uso de va compartida</w:t>
            </w:r>
          </w:p>
        </w:tc>
        <w:tc>
          <w:tcPr>
            <w:tcW w:w="479" w:type="dxa"/>
            <w:textDirection w:val="btLr"/>
          </w:tcPr>
          <w:p w14:paraId="001AFF02" w14:textId="18654912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Colectora principal</w:t>
            </w:r>
          </w:p>
        </w:tc>
        <w:tc>
          <w:tcPr>
            <w:tcW w:w="478" w:type="dxa"/>
            <w:textDirection w:val="btLr"/>
          </w:tcPr>
          <w:p w14:paraId="26B59E69" w14:textId="00B0F176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Colectora secundaria</w:t>
            </w:r>
          </w:p>
        </w:tc>
        <w:tc>
          <w:tcPr>
            <w:tcW w:w="479" w:type="dxa"/>
            <w:textDirection w:val="btLr"/>
          </w:tcPr>
          <w:p w14:paraId="208ADBD8" w14:textId="1F2BFF01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Local treinta</w:t>
            </w:r>
          </w:p>
        </w:tc>
        <w:tc>
          <w:tcPr>
            <w:tcW w:w="478" w:type="dxa"/>
            <w:textDirection w:val="btLr"/>
          </w:tcPr>
          <w:p w14:paraId="42281E2A" w14:textId="75E2999C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Local segregada</w:t>
            </w:r>
          </w:p>
        </w:tc>
        <w:tc>
          <w:tcPr>
            <w:tcW w:w="479" w:type="dxa"/>
            <w:textDirection w:val="btLr"/>
          </w:tcPr>
          <w:p w14:paraId="0A20AA17" w14:textId="112BEF9F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 xml:space="preserve"> Paseo</w:t>
            </w:r>
          </w:p>
        </w:tc>
      </w:tr>
      <w:tr w:rsidR="00F214A2" w:rsidRPr="008A5BF8" w14:paraId="5B0402CF" w14:textId="77777777" w:rsidTr="006839C2">
        <w:trPr>
          <w:trHeight w:val="70"/>
        </w:trPr>
        <w:tc>
          <w:tcPr>
            <w:tcW w:w="2122" w:type="dxa"/>
          </w:tcPr>
          <w:p w14:paraId="3C620B8B" w14:textId="131B409A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>Colectora principal</w:t>
            </w:r>
          </w:p>
        </w:tc>
        <w:tc>
          <w:tcPr>
            <w:tcW w:w="478" w:type="dxa"/>
          </w:tcPr>
          <w:p w14:paraId="1861A911" w14:textId="3D05FF3F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14:paraId="759FB548" w14:textId="2A1DEA21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9" w:type="dxa"/>
          </w:tcPr>
          <w:p w14:paraId="0AFA8FA2" w14:textId="0666BF41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8" w:type="dxa"/>
          </w:tcPr>
          <w:p w14:paraId="008EFC96" w14:textId="6B01C0AC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79" w:type="dxa"/>
          </w:tcPr>
          <w:p w14:paraId="3B444596" w14:textId="045736C3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8" w:type="dxa"/>
          </w:tcPr>
          <w:p w14:paraId="4964F2B9" w14:textId="20DC8932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9" w:type="dxa"/>
          </w:tcPr>
          <w:p w14:paraId="40C077E0" w14:textId="6978B1F7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14:paraId="32C3AFF5" w14:textId="060B4933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14:paraId="18420CD8" w14:textId="7A03E3F8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9" w:type="dxa"/>
          </w:tcPr>
          <w:p w14:paraId="152E32C0" w14:textId="024D9503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78" w:type="dxa"/>
          </w:tcPr>
          <w:p w14:paraId="789A099A" w14:textId="4787F90A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8" w:type="dxa"/>
          </w:tcPr>
          <w:p w14:paraId="38F36ED8" w14:textId="4669BF1D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9" w:type="dxa"/>
          </w:tcPr>
          <w:p w14:paraId="6DF02D08" w14:textId="098F58B1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8" w:type="dxa"/>
          </w:tcPr>
          <w:p w14:paraId="31FC8092" w14:textId="6C070BF9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9" w:type="dxa"/>
          </w:tcPr>
          <w:p w14:paraId="3EDD33D6" w14:textId="313A4F46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478" w:type="dxa"/>
          </w:tcPr>
          <w:p w14:paraId="3C2DF87A" w14:textId="61D58424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9" w:type="dxa"/>
          </w:tcPr>
          <w:p w14:paraId="471A6791" w14:textId="573B334A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</w:tr>
      <w:tr w:rsidR="00F214A2" w:rsidRPr="008A5BF8" w14:paraId="3753835F" w14:textId="77777777" w:rsidTr="006839C2">
        <w:trPr>
          <w:trHeight w:val="70"/>
        </w:trPr>
        <w:tc>
          <w:tcPr>
            <w:tcW w:w="2122" w:type="dxa"/>
          </w:tcPr>
          <w:p w14:paraId="43ECB6EF" w14:textId="4FBDC4A5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>Colectora secundaria</w:t>
            </w:r>
          </w:p>
        </w:tc>
        <w:tc>
          <w:tcPr>
            <w:tcW w:w="478" w:type="dxa"/>
          </w:tcPr>
          <w:p w14:paraId="6B32D2B4" w14:textId="3DA4B4C4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478" w:type="dxa"/>
          </w:tcPr>
          <w:p w14:paraId="17CA221A" w14:textId="4E60A9D5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9" w:type="dxa"/>
          </w:tcPr>
          <w:p w14:paraId="408B09B3" w14:textId="6D601E01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14:paraId="31B84AA2" w14:textId="439C17D7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14:paraId="1E237460" w14:textId="564B6334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8" w:type="dxa"/>
          </w:tcPr>
          <w:p w14:paraId="30FFF218" w14:textId="2529A266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9" w:type="dxa"/>
          </w:tcPr>
          <w:p w14:paraId="65F742EE" w14:textId="5650404C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14:paraId="59CF97D9" w14:textId="755A4790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14:paraId="0C01558C" w14:textId="215E6711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479" w:type="dxa"/>
          </w:tcPr>
          <w:p w14:paraId="29D60A8E" w14:textId="77777777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6F7A3E0E" w14:textId="380B6C26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8" w:type="dxa"/>
          </w:tcPr>
          <w:p w14:paraId="2A3B9D0C" w14:textId="2940CC24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9" w:type="dxa"/>
          </w:tcPr>
          <w:p w14:paraId="4C04B03F" w14:textId="730F79AD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8" w:type="dxa"/>
          </w:tcPr>
          <w:p w14:paraId="6AEA4763" w14:textId="4708EEF5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9" w:type="dxa"/>
          </w:tcPr>
          <w:p w14:paraId="38C18D63" w14:textId="47D437CE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8" w:type="dxa"/>
          </w:tcPr>
          <w:p w14:paraId="4A9E5F96" w14:textId="10FD77C2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9" w:type="dxa"/>
          </w:tcPr>
          <w:p w14:paraId="7459E282" w14:textId="6E3FB963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AC</w:t>
            </w:r>
          </w:p>
        </w:tc>
      </w:tr>
      <w:tr w:rsidR="00F214A2" w:rsidRPr="008A5BF8" w14:paraId="5CF7C10A" w14:textId="77777777" w:rsidTr="006839C2">
        <w:trPr>
          <w:trHeight w:val="82"/>
        </w:trPr>
        <w:tc>
          <w:tcPr>
            <w:tcW w:w="2122" w:type="dxa"/>
          </w:tcPr>
          <w:p w14:paraId="19E3ADF4" w14:textId="7C36A703" w:rsidR="00F214A2" w:rsidRPr="008A5BF8" w:rsidRDefault="00F214A2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>Local treinta</w:t>
            </w:r>
          </w:p>
        </w:tc>
        <w:tc>
          <w:tcPr>
            <w:tcW w:w="478" w:type="dxa"/>
          </w:tcPr>
          <w:p w14:paraId="4E952655" w14:textId="72B7A8E1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478" w:type="dxa"/>
          </w:tcPr>
          <w:p w14:paraId="4AEC69AA" w14:textId="0AD6AC3D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PO</w:t>
            </w:r>
          </w:p>
        </w:tc>
        <w:tc>
          <w:tcPr>
            <w:tcW w:w="479" w:type="dxa"/>
          </w:tcPr>
          <w:p w14:paraId="6A9E6FFA" w14:textId="6232D978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14:paraId="4769310A" w14:textId="4F4BD5FD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14:paraId="5D502D9D" w14:textId="300FA325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14:paraId="5B3AC620" w14:textId="5ABBE1CC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9" w:type="dxa"/>
          </w:tcPr>
          <w:p w14:paraId="78CFA093" w14:textId="5A27B599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50501745" w14:textId="74D24199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14:paraId="2B999340" w14:textId="77777777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14:paraId="5B94015F" w14:textId="62F2A0A0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14:paraId="3225386F" w14:textId="689A543C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8" w:type="dxa"/>
          </w:tcPr>
          <w:p w14:paraId="3DB2C848" w14:textId="25B47B3A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14:paraId="0EBA3752" w14:textId="51C8FB41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478" w:type="dxa"/>
          </w:tcPr>
          <w:p w14:paraId="18E8EB01" w14:textId="36217E82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9" w:type="dxa"/>
          </w:tcPr>
          <w:p w14:paraId="3A8C5144" w14:textId="7CCCE338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8" w:type="dxa"/>
          </w:tcPr>
          <w:p w14:paraId="1983A250" w14:textId="39BED7DB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9" w:type="dxa"/>
          </w:tcPr>
          <w:p w14:paraId="3416779E" w14:textId="63DB48ED" w:rsidR="00F214A2" w:rsidRPr="006839C2" w:rsidRDefault="00F214A2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</w:tr>
      <w:tr w:rsidR="00FE1483" w:rsidRPr="008A5BF8" w14:paraId="315472F1" w14:textId="77777777" w:rsidTr="006839C2">
        <w:trPr>
          <w:trHeight w:val="114"/>
        </w:trPr>
        <w:tc>
          <w:tcPr>
            <w:tcW w:w="2122" w:type="dxa"/>
          </w:tcPr>
          <w:p w14:paraId="27B571E7" w14:textId="56016620" w:rsidR="00FE1483" w:rsidRPr="008A5BF8" w:rsidRDefault="00FE1483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>Local segregada</w:t>
            </w:r>
          </w:p>
        </w:tc>
        <w:tc>
          <w:tcPr>
            <w:tcW w:w="478" w:type="dxa"/>
          </w:tcPr>
          <w:p w14:paraId="76DF7984" w14:textId="77777777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7645AB8B" w14:textId="77777777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14:paraId="69D2F798" w14:textId="3B21362A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14:paraId="5A541179" w14:textId="0427AA00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9" w:type="dxa"/>
          </w:tcPr>
          <w:p w14:paraId="68301CC2" w14:textId="77777777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5D71650C" w14:textId="241D9F2A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9" w:type="dxa"/>
          </w:tcPr>
          <w:p w14:paraId="623E6D9A" w14:textId="1F6FDC00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14:paraId="0FFF8A89" w14:textId="21579DA4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14:paraId="59725839" w14:textId="77777777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 w14:paraId="6768AFDC" w14:textId="77777777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" w:type="dxa"/>
          </w:tcPr>
          <w:p w14:paraId="728671AF" w14:textId="12B1EFDE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8" w:type="dxa"/>
          </w:tcPr>
          <w:p w14:paraId="12AF743A" w14:textId="35E44EDB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9" w:type="dxa"/>
          </w:tcPr>
          <w:p w14:paraId="700A8FA9" w14:textId="7FECEB45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478" w:type="dxa"/>
          </w:tcPr>
          <w:p w14:paraId="6036483E" w14:textId="311FC91B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9" w:type="dxa"/>
          </w:tcPr>
          <w:p w14:paraId="1D7E6A7C" w14:textId="50F82DAB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8" w:type="dxa"/>
          </w:tcPr>
          <w:p w14:paraId="3205639E" w14:textId="51F6CE27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9" w:type="dxa"/>
          </w:tcPr>
          <w:p w14:paraId="15C7E979" w14:textId="7B29FA7F" w:rsidR="00FE1483" w:rsidRPr="006839C2" w:rsidRDefault="00FE1483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</w:tr>
      <w:tr w:rsidR="00FE1483" w:rsidRPr="008A5BF8" w14:paraId="3C8553A4" w14:textId="77777777" w:rsidTr="006839C2">
        <w:trPr>
          <w:trHeight w:val="132"/>
        </w:trPr>
        <w:tc>
          <w:tcPr>
            <w:tcW w:w="2122" w:type="dxa"/>
          </w:tcPr>
          <w:p w14:paraId="0FCA52EF" w14:textId="44321AC7" w:rsidR="00FE1483" w:rsidRPr="008A5BF8" w:rsidRDefault="00FE1483" w:rsidP="006839C2">
            <w:pPr>
              <w:pStyle w:val="Sinespaciado"/>
              <w:jc w:val="both"/>
              <w:rPr>
                <w:sz w:val="20"/>
              </w:rPr>
            </w:pPr>
            <w:r w:rsidRPr="008A5BF8">
              <w:rPr>
                <w:sz w:val="20"/>
              </w:rPr>
              <w:t>Paseo</w:t>
            </w:r>
          </w:p>
        </w:tc>
        <w:tc>
          <w:tcPr>
            <w:tcW w:w="478" w:type="dxa"/>
          </w:tcPr>
          <w:p w14:paraId="5FDC43F5" w14:textId="16A954D6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8" w:type="dxa"/>
          </w:tcPr>
          <w:p w14:paraId="2028037E" w14:textId="792853C6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9" w:type="dxa"/>
          </w:tcPr>
          <w:p w14:paraId="3A1ACB6C" w14:textId="7D881C7D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78" w:type="dxa"/>
          </w:tcPr>
          <w:p w14:paraId="39C43137" w14:textId="1B22DACC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9" w:type="dxa"/>
          </w:tcPr>
          <w:p w14:paraId="6AA7F7C2" w14:textId="23307BEF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8" w:type="dxa"/>
          </w:tcPr>
          <w:p w14:paraId="30FAAF20" w14:textId="160F3FAA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9" w:type="dxa"/>
          </w:tcPr>
          <w:p w14:paraId="1C1D1DA4" w14:textId="620A2D4E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14:paraId="2406ED34" w14:textId="3B78ED4A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14:paraId="38C6A873" w14:textId="29341590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79" w:type="dxa"/>
          </w:tcPr>
          <w:p w14:paraId="5807A729" w14:textId="4E2BFB72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14:paraId="43E813FA" w14:textId="1B61CA82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14:paraId="38392556" w14:textId="045E7441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479" w:type="dxa"/>
          </w:tcPr>
          <w:p w14:paraId="035A1AC1" w14:textId="140F4071" w:rsidR="00FE1483" w:rsidRPr="006839C2" w:rsidRDefault="002C7B0A" w:rsidP="006839C2">
            <w:pPr>
              <w:pStyle w:val="Sinespaciado"/>
              <w:tabs>
                <w:tab w:val="center" w:pos="131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NA</w:t>
            </w:r>
          </w:p>
        </w:tc>
        <w:tc>
          <w:tcPr>
            <w:tcW w:w="478" w:type="dxa"/>
          </w:tcPr>
          <w:p w14:paraId="32C10EAB" w14:textId="2827E59A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AC</w:t>
            </w:r>
          </w:p>
        </w:tc>
        <w:tc>
          <w:tcPr>
            <w:tcW w:w="479" w:type="dxa"/>
          </w:tcPr>
          <w:p w14:paraId="335C8492" w14:textId="1E630964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8" w:type="dxa"/>
          </w:tcPr>
          <w:p w14:paraId="7DCB5D74" w14:textId="412B0E0B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  <w:tc>
          <w:tcPr>
            <w:tcW w:w="479" w:type="dxa"/>
          </w:tcPr>
          <w:p w14:paraId="7F56B5B1" w14:textId="7A3B9DC2" w:rsidR="00FE1483" w:rsidRPr="006839C2" w:rsidRDefault="002C7B0A" w:rsidP="006839C2">
            <w:pPr>
              <w:pStyle w:val="Sinespaciado"/>
              <w:jc w:val="center"/>
              <w:rPr>
                <w:rFonts w:cstheme="minorHAnsi"/>
                <w:sz w:val="20"/>
                <w:szCs w:val="20"/>
              </w:rPr>
            </w:pPr>
            <w:r w:rsidRPr="006839C2">
              <w:rPr>
                <w:rFonts w:cstheme="minorHAnsi"/>
                <w:sz w:val="20"/>
                <w:szCs w:val="20"/>
              </w:rPr>
              <w:t>SÍ</w:t>
            </w:r>
          </w:p>
        </w:tc>
      </w:tr>
      <w:tr w:rsidR="002C7B0A" w:rsidRPr="008A5BF8" w14:paraId="3F1B1E3B" w14:textId="77777777" w:rsidTr="00AC738B">
        <w:trPr>
          <w:trHeight w:val="387"/>
        </w:trPr>
        <w:tc>
          <w:tcPr>
            <w:tcW w:w="10255" w:type="dxa"/>
            <w:gridSpan w:val="18"/>
          </w:tcPr>
          <w:p w14:paraId="7917F466" w14:textId="33DD0E1F" w:rsidR="002C7B0A" w:rsidRPr="00A86EBC" w:rsidRDefault="002C7B0A" w:rsidP="006839C2">
            <w:pPr>
              <w:pStyle w:val="Sinespaciado"/>
              <w:jc w:val="both"/>
              <w:rPr>
                <w:sz w:val="20"/>
              </w:rPr>
            </w:pPr>
            <w:r w:rsidRPr="00A86EBC">
              <w:rPr>
                <w:sz w:val="20"/>
              </w:rPr>
              <w:t>LEYENDA</w:t>
            </w:r>
          </w:p>
          <w:p w14:paraId="6C26141C" w14:textId="6F509F8D" w:rsidR="002C7B0A" w:rsidRDefault="002C7B0A" w:rsidP="00A86EBC">
            <w:pPr>
              <w:pStyle w:val="Sinespaciado"/>
              <w:numPr>
                <w:ilvl w:val="0"/>
                <w:numId w:val="2"/>
              </w:numPr>
              <w:tabs>
                <w:tab w:val="left" w:pos="317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Prioridad máxima</w:t>
            </w:r>
          </w:p>
          <w:p w14:paraId="13E0D877" w14:textId="77777777" w:rsidR="002C7B0A" w:rsidRDefault="002C7B0A" w:rsidP="00A86EBC">
            <w:pPr>
              <w:pStyle w:val="Sinespaciado"/>
              <w:tabs>
                <w:tab w:val="left" w:pos="317"/>
              </w:tabs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>Prioridad mínima</w:t>
            </w:r>
          </w:p>
          <w:p w14:paraId="5FC496AA" w14:textId="539140F7" w:rsidR="002C7B0A" w:rsidRDefault="002C7B0A" w:rsidP="00A86EBC">
            <w:pPr>
              <w:pStyle w:val="Sinespaciado"/>
              <w:tabs>
                <w:tab w:val="left" w:pos="317"/>
              </w:tabs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SÍ</w:t>
            </w:r>
            <w:r>
              <w:rPr>
                <w:sz w:val="20"/>
              </w:rPr>
              <w:tab/>
              <w:t>Sí se permite</w:t>
            </w:r>
          </w:p>
          <w:p w14:paraId="2662BDF7" w14:textId="77777777" w:rsidR="002C7B0A" w:rsidRDefault="002C7B0A" w:rsidP="00A86EBC">
            <w:pPr>
              <w:pStyle w:val="Sinespaciado"/>
              <w:tabs>
                <w:tab w:val="left" w:pos="317"/>
              </w:tabs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PO</w:t>
            </w:r>
            <w:r>
              <w:rPr>
                <w:sz w:val="20"/>
              </w:rPr>
              <w:tab/>
              <w:t>Siendo posible</w:t>
            </w:r>
          </w:p>
          <w:p w14:paraId="273F005B" w14:textId="06D4C1C0" w:rsidR="00AE74EC" w:rsidRDefault="00AE74EC" w:rsidP="00A86EBC">
            <w:pPr>
              <w:pStyle w:val="Sinespaciado"/>
              <w:tabs>
                <w:tab w:val="left" w:pos="317"/>
              </w:tabs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AC</w:t>
            </w:r>
            <w:r>
              <w:rPr>
                <w:sz w:val="20"/>
              </w:rPr>
              <w:tab/>
              <w:t>Se acepta</w:t>
            </w:r>
          </w:p>
          <w:p w14:paraId="3BAB8BB3" w14:textId="0D1B5DF9" w:rsidR="002C7B0A" w:rsidRPr="008A5BF8" w:rsidRDefault="002C7B0A" w:rsidP="00A86EBC">
            <w:pPr>
              <w:pStyle w:val="Sinespaciado"/>
              <w:tabs>
                <w:tab w:val="left" w:pos="317"/>
              </w:tabs>
              <w:ind w:left="360"/>
              <w:jc w:val="both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z w:val="20"/>
              </w:rPr>
              <w:tab/>
              <w:t xml:space="preserve">No se </w:t>
            </w:r>
            <w:r w:rsidR="00AE74EC">
              <w:rPr>
                <w:sz w:val="20"/>
              </w:rPr>
              <w:t>permite</w:t>
            </w:r>
          </w:p>
        </w:tc>
      </w:tr>
    </w:tbl>
    <w:p w14:paraId="3DC780A8" w14:textId="77777777" w:rsidR="00F45FC6" w:rsidRDefault="00F45FC6" w:rsidP="00B17F7C">
      <w:pPr>
        <w:pStyle w:val="Sinespaciado"/>
        <w:jc w:val="both"/>
        <w:rPr>
          <w:lang w:val="es-ES"/>
        </w:rPr>
      </w:pPr>
    </w:p>
    <w:p w14:paraId="3D150514" w14:textId="77777777" w:rsidR="006839C2" w:rsidRDefault="006839C2" w:rsidP="00B17F7C">
      <w:pPr>
        <w:pStyle w:val="Sinespaciado"/>
        <w:jc w:val="both"/>
        <w:rPr>
          <w:b/>
          <w:color w:val="000000" w:themeColor="text1"/>
          <w:sz w:val="26"/>
          <w:szCs w:val="26"/>
          <w:lang w:val="pt-BR"/>
        </w:rPr>
      </w:pPr>
    </w:p>
    <w:p w14:paraId="1DB34AE6" w14:textId="518381BD" w:rsidR="0012082B" w:rsidRDefault="0012082B" w:rsidP="00B17F7C">
      <w:pPr>
        <w:pStyle w:val="Sinespaciado"/>
        <w:jc w:val="both"/>
        <w:rPr>
          <w:b/>
          <w:color w:val="000000" w:themeColor="text1"/>
          <w:sz w:val="26"/>
          <w:szCs w:val="26"/>
          <w:lang w:val="pt-BR"/>
        </w:rPr>
      </w:pPr>
      <w:r w:rsidRPr="00873237">
        <w:rPr>
          <w:b/>
          <w:color w:val="000000" w:themeColor="text1"/>
          <w:sz w:val="26"/>
          <w:szCs w:val="26"/>
          <w:lang w:val="pt-BR"/>
        </w:rPr>
        <w:t>3.2.3 Micromovilidad</w:t>
      </w:r>
    </w:p>
    <w:p w14:paraId="0FD74BCC" w14:textId="77777777" w:rsidR="006839C2" w:rsidRPr="00873237" w:rsidRDefault="006839C2" w:rsidP="00B17F7C">
      <w:pPr>
        <w:pStyle w:val="Sinespaciado"/>
        <w:jc w:val="both"/>
        <w:rPr>
          <w:b/>
          <w:color w:val="000000" w:themeColor="text1"/>
          <w:sz w:val="26"/>
          <w:szCs w:val="26"/>
          <w:lang w:val="pt-BR"/>
        </w:rPr>
      </w:pPr>
    </w:p>
    <w:p w14:paraId="5587B130" w14:textId="4D3B118C" w:rsidR="00F90CD6" w:rsidRDefault="00873237" w:rsidP="00B17F7C">
      <w:pPr>
        <w:spacing w:after="0" w:line="240" w:lineRule="auto"/>
        <w:rPr>
          <w:lang w:val="es-419"/>
        </w:rPr>
      </w:pPr>
      <w:r w:rsidRPr="00873237">
        <w:rPr>
          <w:lang w:val="es-419"/>
        </w:rPr>
        <w:t>Los modales de micromovilidad</w:t>
      </w:r>
      <w:r w:rsidR="00705C18">
        <w:rPr>
          <w:lang w:val="es-419"/>
        </w:rPr>
        <w:t xml:space="preserve"> como b</w:t>
      </w:r>
      <w:r w:rsidR="009F0BC1">
        <w:rPr>
          <w:lang w:val="es-419"/>
        </w:rPr>
        <w:t>icicletas, patinetes, scooters,</w:t>
      </w:r>
      <w:r w:rsidR="00705C18">
        <w:rPr>
          <w:lang w:val="es-419"/>
        </w:rPr>
        <w:t xml:space="preserve"> triciclos</w:t>
      </w:r>
      <w:r w:rsidR="009F0BC1">
        <w:rPr>
          <w:lang w:val="es-419"/>
        </w:rPr>
        <w:t>, etc.</w:t>
      </w:r>
      <w:r w:rsidRPr="00873237">
        <w:rPr>
          <w:lang w:val="es-419"/>
        </w:rPr>
        <w:t xml:space="preserve"> tie</w:t>
      </w:r>
      <w:r>
        <w:rPr>
          <w:lang w:val="es-419"/>
        </w:rPr>
        <w:t xml:space="preserve">nen circuitos principales establecidos a través de ciclovías construidas en </w:t>
      </w:r>
      <w:r w:rsidR="009F0BC1">
        <w:rPr>
          <w:lang w:val="es-419"/>
        </w:rPr>
        <w:t xml:space="preserve">el paseo </w:t>
      </w:r>
      <w:r w:rsidR="000B1C99">
        <w:rPr>
          <w:lang w:val="es-419"/>
        </w:rPr>
        <w:t>principal, en tramo hábil de la Tambo y el borde urbano con la zona agrícola</w:t>
      </w:r>
      <w:r w:rsidR="00F90CD6">
        <w:rPr>
          <w:lang w:val="es-419"/>
        </w:rPr>
        <w:t>, integrados por los extremos; conformando una malla de dos anillos adyacentes. La capilaridad de la malla de micromovilidad es dada por el uso compartido de vía de las calles treinta.</w:t>
      </w:r>
    </w:p>
    <w:p w14:paraId="6E1D09B7" w14:textId="77777777" w:rsidR="006839C2" w:rsidRDefault="006839C2" w:rsidP="00B17F7C">
      <w:pPr>
        <w:spacing w:after="0" w:line="240" w:lineRule="auto"/>
        <w:rPr>
          <w:lang w:val="es-419"/>
        </w:rPr>
      </w:pPr>
    </w:p>
    <w:p w14:paraId="6F7F00DE" w14:textId="6A70ACCD" w:rsidR="00983223" w:rsidRDefault="00983223" w:rsidP="00B17F7C">
      <w:pPr>
        <w:spacing w:after="0" w:line="240" w:lineRule="auto"/>
        <w:rPr>
          <w:lang w:val="es-419"/>
        </w:rPr>
      </w:pPr>
      <w:r>
        <w:rPr>
          <w:lang w:val="es-419"/>
        </w:rPr>
        <w:t>El eje de micromovilidad del</w:t>
      </w:r>
      <w:r w:rsidR="009F0BC1">
        <w:rPr>
          <w:lang w:val="es-419"/>
        </w:rPr>
        <w:t xml:space="preserve"> paseo </w:t>
      </w:r>
      <w:r>
        <w:rPr>
          <w:lang w:val="es-419"/>
        </w:rPr>
        <w:t>principal se integrará a prolongaciones a norte y sur en los proyectos de recuperación de humedales.</w:t>
      </w:r>
    </w:p>
    <w:p w14:paraId="7FA21AD2" w14:textId="77777777" w:rsidR="006839C2" w:rsidRDefault="006839C2" w:rsidP="00B17F7C">
      <w:pPr>
        <w:spacing w:after="0" w:line="240" w:lineRule="auto"/>
        <w:rPr>
          <w:lang w:val="es-419"/>
        </w:rPr>
      </w:pPr>
    </w:p>
    <w:p w14:paraId="16D3A8E2" w14:textId="5E41ED80" w:rsidR="00983223" w:rsidRDefault="00F90CD6" w:rsidP="00B17F7C">
      <w:pPr>
        <w:spacing w:after="0" w:line="240" w:lineRule="auto"/>
        <w:rPr>
          <w:lang w:val="es-419"/>
        </w:rPr>
      </w:pPr>
      <w:r>
        <w:rPr>
          <w:lang w:val="es-419"/>
        </w:rPr>
        <w:t>La circulación de cuatrimotos en ciclovías es</w:t>
      </w:r>
      <w:r w:rsidR="006839C2">
        <w:rPr>
          <w:lang w:val="es-419"/>
        </w:rPr>
        <w:t>tá</w:t>
      </w:r>
      <w:r>
        <w:rPr>
          <w:lang w:val="es-419"/>
        </w:rPr>
        <w:t xml:space="preserve"> vetada.</w:t>
      </w:r>
    </w:p>
    <w:p w14:paraId="38B9DC09" w14:textId="77777777" w:rsidR="006839C2" w:rsidRDefault="006839C2" w:rsidP="00B17F7C">
      <w:pPr>
        <w:spacing w:after="0" w:line="240" w:lineRule="auto"/>
        <w:rPr>
          <w:lang w:val="es-419"/>
        </w:rPr>
      </w:pPr>
    </w:p>
    <w:p w14:paraId="6338A3B6" w14:textId="224134E6" w:rsidR="0012082B" w:rsidRDefault="0012082B" w:rsidP="00B17F7C">
      <w:pPr>
        <w:pStyle w:val="Sinespaciado"/>
        <w:jc w:val="both"/>
        <w:rPr>
          <w:b/>
          <w:color w:val="000000" w:themeColor="text1"/>
          <w:sz w:val="26"/>
          <w:szCs w:val="26"/>
          <w:lang w:val="es-419"/>
        </w:rPr>
      </w:pPr>
      <w:r w:rsidRPr="00873237">
        <w:rPr>
          <w:b/>
          <w:color w:val="000000" w:themeColor="text1"/>
          <w:sz w:val="26"/>
          <w:szCs w:val="26"/>
          <w:lang w:val="es-419"/>
        </w:rPr>
        <w:t>3.2.4 Transporte público</w:t>
      </w:r>
    </w:p>
    <w:p w14:paraId="3A971686" w14:textId="77777777" w:rsidR="006839C2" w:rsidRPr="00873237" w:rsidRDefault="006839C2" w:rsidP="00B17F7C">
      <w:pPr>
        <w:pStyle w:val="Sinespaciado"/>
        <w:jc w:val="both"/>
        <w:rPr>
          <w:b/>
          <w:color w:val="000000" w:themeColor="text1"/>
          <w:sz w:val="26"/>
          <w:szCs w:val="26"/>
          <w:lang w:val="es-419"/>
        </w:rPr>
      </w:pPr>
    </w:p>
    <w:p w14:paraId="0EED6A4B" w14:textId="0C461B09" w:rsidR="0012082B" w:rsidRDefault="007442AC" w:rsidP="00B17F7C">
      <w:pPr>
        <w:spacing w:after="0" w:line="240" w:lineRule="auto"/>
        <w:rPr>
          <w:lang w:val="es-419"/>
        </w:rPr>
      </w:pPr>
      <w:r>
        <w:rPr>
          <w:lang w:val="es-419"/>
        </w:rPr>
        <w:t xml:space="preserve">Estacionamiento de unidades de transporte público </w:t>
      </w:r>
      <w:r w:rsidR="008062C3">
        <w:rPr>
          <w:lang w:val="es-419"/>
        </w:rPr>
        <w:t xml:space="preserve">interdistrital o interprovincial </w:t>
      </w:r>
      <w:r>
        <w:rPr>
          <w:lang w:val="es-419"/>
        </w:rPr>
        <w:t>de vans y taxis para embarque y desembarque podrá ser hecho en puntos pre</w:t>
      </w:r>
      <w:r w:rsidR="009F0BC1">
        <w:rPr>
          <w:lang w:val="es-419"/>
        </w:rPr>
        <w:t>e</w:t>
      </w:r>
      <w:r>
        <w:rPr>
          <w:lang w:val="es-419"/>
        </w:rPr>
        <w:t xml:space="preserve">stablecidos en la Tambo entre la Urb. La Perla y José Carlos Mariategui, y </w:t>
      </w:r>
      <w:r w:rsidR="009F0BC1">
        <w:rPr>
          <w:lang w:val="es-419"/>
        </w:rPr>
        <w:t>en la prolongación de la Gilard;</w:t>
      </w:r>
      <w:r>
        <w:rPr>
          <w:lang w:val="es-419"/>
        </w:rPr>
        <w:t xml:space="preserve"> en el Centro Poblado de Mejía podrá hacerse la espera apenas en estacionamientos de colectoras secundarias.</w:t>
      </w:r>
    </w:p>
    <w:p w14:paraId="7887ED20" w14:textId="77777777" w:rsidR="006839C2" w:rsidRDefault="006839C2" w:rsidP="00B17F7C">
      <w:pPr>
        <w:spacing w:after="0" w:line="240" w:lineRule="auto"/>
        <w:rPr>
          <w:lang w:val="es-419"/>
        </w:rPr>
      </w:pPr>
    </w:p>
    <w:p w14:paraId="52A27C11" w14:textId="5147EAA5" w:rsidR="007442AC" w:rsidRDefault="007442AC" w:rsidP="00B17F7C">
      <w:pPr>
        <w:spacing w:after="0" w:line="240" w:lineRule="auto"/>
        <w:rPr>
          <w:lang w:val="es-419"/>
        </w:rPr>
      </w:pPr>
      <w:r>
        <w:rPr>
          <w:lang w:val="es-419"/>
        </w:rPr>
        <w:t xml:space="preserve">Unidades </w:t>
      </w:r>
      <w:r w:rsidR="008062C3">
        <w:rPr>
          <w:lang w:val="es-419"/>
        </w:rPr>
        <w:t>mayores de ómnibus podrán estacionar</w:t>
      </w:r>
      <w:r w:rsidR="008062C3" w:rsidRPr="008062C3">
        <w:rPr>
          <w:lang w:val="es-419"/>
        </w:rPr>
        <w:t xml:space="preserve"> </w:t>
      </w:r>
      <w:r w:rsidR="008062C3">
        <w:rPr>
          <w:lang w:val="es-419"/>
        </w:rPr>
        <w:t xml:space="preserve">para embarque y desembarque en puntos designados de colectoras secundarias o paradas específicas en la plaza de la urb. </w:t>
      </w:r>
      <w:r w:rsidR="009F0BC1">
        <w:rPr>
          <w:lang w:val="es-419"/>
        </w:rPr>
        <w:t>L</w:t>
      </w:r>
      <w:r w:rsidR="008062C3">
        <w:rPr>
          <w:lang w:val="es-419"/>
        </w:rPr>
        <w:t>a Perla.</w:t>
      </w:r>
    </w:p>
    <w:p w14:paraId="4F019F39" w14:textId="77777777" w:rsidR="006839C2" w:rsidRPr="00873237" w:rsidRDefault="006839C2" w:rsidP="00B17F7C">
      <w:pPr>
        <w:spacing w:after="0" w:line="240" w:lineRule="auto"/>
        <w:rPr>
          <w:lang w:val="es-419"/>
        </w:rPr>
      </w:pPr>
    </w:p>
    <w:p w14:paraId="1CAD474E" w14:textId="3E95321C" w:rsidR="0012082B" w:rsidRPr="007442AC" w:rsidRDefault="0012082B" w:rsidP="00B17F7C">
      <w:pPr>
        <w:pStyle w:val="Sinespaciado"/>
        <w:jc w:val="both"/>
        <w:rPr>
          <w:b/>
          <w:color w:val="000000" w:themeColor="text1"/>
          <w:sz w:val="26"/>
          <w:szCs w:val="26"/>
          <w:lang w:val="es-419"/>
        </w:rPr>
      </w:pPr>
      <w:r w:rsidRPr="007442AC">
        <w:rPr>
          <w:b/>
          <w:color w:val="000000" w:themeColor="text1"/>
          <w:sz w:val="26"/>
          <w:szCs w:val="26"/>
          <w:lang w:val="es-419"/>
        </w:rPr>
        <w:t>3.2.5 Transporte logístico</w:t>
      </w:r>
    </w:p>
    <w:p w14:paraId="1794E454" w14:textId="11A0E20F" w:rsidR="0012082B" w:rsidRDefault="008062C3" w:rsidP="00B17F7C">
      <w:pPr>
        <w:spacing w:after="0" w:line="240" w:lineRule="auto"/>
        <w:rPr>
          <w:lang w:val="es-419"/>
        </w:rPr>
      </w:pPr>
      <w:r>
        <w:rPr>
          <w:lang w:val="es-419"/>
        </w:rPr>
        <w:lastRenderedPageBreak/>
        <w:t xml:space="preserve">La circulación de camiones de </w:t>
      </w:r>
      <w:r w:rsidR="00842AF9">
        <w:rPr>
          <w:lang w:val="es-419"/>
        </w:rPr>
        <w:t>4</w:t>
      </w:r>
      <w:r>
        <w:rPr>
          <w:lang w:val="es-419"/>
        </w:rPr>
        <w:t xml:space="preserve"> ejes </w:t>
      </w:r>
      <w:r w:rsidR="00842AF9">
        <w:rPr>
          <w:lang w:val="es-419"/>
        </w:rPr>
        <w:t xml:space="preserve">en perímetro urbano </w:t>
      </w:r>
      <w:r w:rsidR="0050252C">
        <w:rPr>
          <w:lang w:val="es-419"/>
        </w:rPr>
        <w:t xml:space="preserve">solo </w:t>
      </w:r>
      <w:r>
        <w:rPr>
          <w:lang w:val="es-419"/>
        </w:rPr>
        <w:t>podrá ser realizado en las v</w:t>
      </w:r>
      <w:r w:rsidR="00842AF9">
        <w:rPr>
          <w:lang w:val="es-419"/>
        </w:rPr>
        <w:t>í</w:t>
      </w:r>
      <w:r>
        <w:rPr>
          <w:lang w:val="es-419"/>
        </w:rPr>
        <w:t xml:space="preserve">as Tambo, Gilardi, prolongación Gilardi, la AR-814, </w:t>
      </w:r>
      <w:r w:rsidR="00842AF9">
        <w:rPr>
          <w:lang w:val="es-419"/>
        </w:rPr>
        <w:t xml:space="preserve">y </w:t>
      </w:r>
      <w:r>
        <w:rPr>
          <w:lang w:val="es-419"/>
        </w:rPr>
        <w:t xml:space="preserve">la </w:t>
      </w:r>
      <w:r w:rsidR="00842AF9">
        <w:rPr>
          <w:lang w:val="es-419"/>
        </w:rPr>
        <w:t xml:space="preserve">Atahualpa. En temporada vacacional camiones de 4 ejes </w:t>
      </w:r>
      <w:r w:rsidR="0050252C">
        <w:rPr>
          <w:lang w:val="es-419"/>
        </w:rPr>
        <w:t xml:space="preserve">solo </w:t>
      </w:r>
      <w:r w:rsidR="00842AF9">
        <w:rPr>
          <w:lang w:val="es-419"/>
        </w:rPr>
        <w:t>podrán estacionar en estacionamientos privados o vías vecinales.</w:t>
      </w:r>
    </w:p>
    <w:p w14:paraId="640D0F9F" w14:textId="77777777" w:rsidR="006839C2" w:rsidRDefault="006839C2" w:rsidP="00B17F7C">
      <w:pPr>
        <w:spacing w:after="0" w:line="240" w:lineRule="auto"/>
        <w:rPr>
          <w:lang w:val="es-419"/>
        </w:rPr>
      </w:pPr>
    </w:p>
    <w:p w14:paraId="7F952228" w14:textId="641D2D1D" w:rsidR="00842AF9" w:rsidRDefault="00842AF9" w:rsidP="00B17F7C">
      <w:pPr>
        <w:spacing w:after="0" w:line="240" w:lineRule="auto"/>
        <w:rPr>
          <w:lang w:val="es-419"/>
        </w:rPr>
      </w:pPr>
      <w:r>
        <w:rPr>
          <w:lang w:val="es-419"/>
        </w:rPr>
        <w:t xml:space="preserve">Los camiones de 3 ejes </w:t>
      </w:r>
      <w:r w:rsidR="0050252C">
        <w:rPr>
          <w:lang w:val="es-419"/>
        </w:rPr>
        <w:t xml:space="preserve">solo </w:t>
      </w:r>
      <w:r>
        <w:rPr>
          <w:lang w:val="es-419"/>
        </w:rPr>
        <w:t xml:space="preserve">podrán circular en vías colectoras de cualquier categoría. En temporada vacacional camiones de 3 ejes </w:t>
      </w:r>
      <w:r w:rsidR="0050252C">
        <w:rPr>
          <w:lang w:val="es-419"/>
        </w:rPr>
        <w:t xml:space="preserve">solo </w:t>
      </w:r>
      <w:r>
        <w:rPr>
          <w:lang w:val="es-419"/>
        </w:rPr>
        <w:t>podrán estacionar en estacionamientos particulares o vías vecinales.</w:t>
      </w:r>
    </w:p>
    <w:p w14:paraId="4E589005" w14:textId="77777777" w:rsidR="006839C2" w:rsidRDefault="006839C2" w:rsidP="00B17F7C">
      <w:pPr>
        <w:spacing w:after="0" w:line="240" w:lineRule="auto"/>
        <w:rPr>
          <w:lang w:val="es-419"/>
        </w:rPr>
      </w:pPr>
    </w:p>
    <w:p w14:paraId="39658943" w14:textId="3699EB88" w:rsidR="00C22A6C" w:rsidRDefault="00C22A6C" w:rsidP="00B17F7C">
      <w:pPr>
        <w:spacing w:after="0" w:line="240" w:lineRule="auto"/>
        <w:rPr>
          <w:lang w:val="es-419"/>
        </w:rPr>
      </w:pPr>
      <w:r>
        <w:rPr>
          <w:lang w:val="es-419"/>
        </w:rPr>
        <w:t xml:space="preserve">En vías locales </w:t>
      </w:r>
      <w:r w:rsidR="0050252C">
        <w:rPr>
          <w:lang w:val="es-419"/>
        </w:rPr>
        <w:t xml:space="preserve">solo </w:t>
      </w:r>
      <w:r>
        <w:rPr>
          <w:lang w:val="es-419"/>
        </w:rPr>
        <w:t xml:space="preserve">podrán circular camiones de 2 ejes. En temporada vacacional camiones de 2 ejes </w:t>
      </w:r>
      <w:r w:rsidR="0050252C">
        <w:rPr>
          <w:lang w:val="es-419"/>
        </w:rPr>
        <w:t xml:space="preserve">solo </w:t>
      </w:r>
      <w:r>
        <w:rPr>
          <w:lang w:val="es-419"/>
        </w:rPr>
        <w:t>podrán estacionar en estacionamientos particulares o vías vecinales.</w:t>
      </w:r>
    </w:p>
    <w:p w14:paraId="49ED8078" w14:textId="77777777" w:rsidR="006839C2" w:rsidRDefault="006839C2" w:rsidP="00B17F7C">
      <w:pPr>
        <w:spacing w:after="0" w:line="240" w:lineRule="auto"/>
        <w:rPr>
          <w:lang w:val="es-419"/>
        </w:rPr>
      </w:pPr>
    </w:p>
    <w:p w14:paraId="7B13CD2E" w14:textId="58021D83" w:rsidR="00C22A6C" w:rsidRDefault="00C22A6C" w:rsidP="00B17F7C">
      <w:pPr>
        <w:spacing w:after="0" w:line="240" w:lineRule="auto"/>
        <w:rPr>
          <w:lang w:val="es-419"/>
        </w:rPr>
      </w:pPr>
      <w:r>
        <w:rPr>
          <w:lang w:val="es-419"/>
        </w:rPr>
        <w:t>La vecinal AR-815 será adecuada como vía de servicio para carga y descarga en apoyo a la vía de evitamiento.</w:t>
      </w:r>
    </w:p>
    <w:p w14:paraId="6DA5E0F3" w14:textId="77777777" w:rsidR="006839C2" w:rsidRPr="007442AC" w:rsidRDefault="006839C2" w:rsidP="00B17F7C">
      <w:pPr>
        <w:spacing w:after="0" w:line="240" w:lineRule="auto"/>
        <w:rPr>
          <w:lang w:val="es-419"/>
        </w:rPr>
      </w:pPr>
    </w:p>
    <w:p w14:paraId="46082722" w14:textId="0FB3B115" w:rsidR="0012082B" w:rsidRDefault="0012082B" w:rsidP="00B17F7C">
      <w:pPr>
        <w:pStyle w:val="Sinespaciado"/>
        <w:jc w:val="both"/>
        <w:rPr>
          <w:b/>
          <w:color w:val="000000" w:themeColor="text1"/>
          <w:sz w:val="26"/>
          <w:szCs w:val="26"/>
        </w:rPr>
      </w:pPr>
      <w:r w:rsidRPr="004D26A0">
        <w:rPr>
          <w:b/>
          <w:color w:val="000000" w:themeColor="text1"/>
          <w:sz w:val="26"/>
          <w:szCs w:val="26"/>
        </w:rPr>
        <w:t>3.2.</w:t>
      </w:r>
      <w:r>
        <w:rPr>
          <w:b/>
          <w:color w:val="000000" w:themeColor="text1"/>
          <w:sz w:val="26"/>
          <w:szCs w:val="26"/>
        </w:rPr>
        <w:t>6 Transporte privado</w:t>
      </w:r>
    </w:p>
    <w:p w14:paraId="7B9D2E32" w14:textId="77777777" w:rsidR="006839C2" w:rsidRDefault="006839C2" w:rsidP="00B17F7C">
      <w:pPr>
        <w:pStyle w:val="Sinespaciado"/>
        <w:jc w:val="both"/>
        <w:rPr>
          <w:b/>
          <w:color w:val="000000" w:themeColor="text1"/>
          <w:sz w:val="26"/>
          <w:szCs w:val="26"/>
        </w:rPr>
      </w:pPr>
    </w:p>
    <w:p w14:paraId="41D21B2B" w14:textId="4F225F46" w:rsidR="0012082B" w:rsidRDefault="00C22A6C" w:rsidP="00B17F7C">
      <w:pPr>
        <w:spacing w:after="0" w:line="240" w:lineRule="auto"/>
        <w:rPr>
          <w:lang w:val="es-ES"/>
        </w:rPr>
      </w:pPr>
      <w:r>
        <w:rPr>
          <w:lang w:val="es-ES"/>
        </w:rPr>
        <w:t xml:space="preserve">Al transporte privado le es </w:t>
      </w:r>
      <w:r w:rsidR="00B708E6">
        <w:rPr>
          <w:lang w:val="es-ES"/>
        </w:rPr>
        <w:t>vetada</w:t>
      </w:r>
      <w:r>
        <w:rPr>
          <w:lang w:val="es-ES"/>
        </w:rPr>
        <w:t xml:space="preserve"> </w:t>
      </w:r>
      <w:r w:rsidR="0050252C">
        <w:rPr>
          <w:lang w:val="es-ES"/>
        </w:rPr>
        <w:t>la circulación en paseos</w:t>
      </w:r>
      <w:r>
        <w:rPr>
          <w:lang w:val="es-ES"/>
        </w:rPr>
        <w:t xml:space="preserve">. </w:t>
      </w:r>
      <w:r>
        <w:rPr>
          <w:lang w:val="es-419"/>
        </w:rPr>
        <w:t>En temporada vacacional</w:t>
      </w:r>
      <w:r>
        <w:rPr>
          <w:lang w:val="es-ES"/>
        </w:rPr>
        <w:t xml:space="preserve"> el estacionamiento de vehículos privados en vías colectoras </w:t>
      </w:r>
      <w:r w:rsidR="0050252C">
        <w:rPr>
          <w:lang w:val="es-ES"/>
        </w:rPr>
        <w:t xml:space="preserve">solo </w:t>
      </w:r>
      <w:r>
        <w:rPr>
          <w:lang w:val="es-ES"/>
        </w:rPr>
        <w:t>es permitido en áreas designadas y por no más de 1 hora.</w:t>
      </w:r>
    </w:p>
    <w:sectPr w:rsidR="00120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B85F" w14:textId="77777777" w:rsidR="001500EB" w:rsidRDefault="001500EB" w:rsidP="004B2720">
      <w:pPr>
        <w:spacing w:after="0" w:line="240" w:lineRule="auto"/>
      </w:pPr>
      <w:r>
        <w:separator/>
      </w:r>
    </w:p>
  </w:endnote>
  <w:endnote w:type="continuationSeparator" w:id="0">
    <w:p w14:paraId="076B8B5B" w14:textId="77777777" w:rsidR="001500EB" w:rsidRDefault="001500EB" w:rsidP="004B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1F8" w14:textId="77777777" w:rsidR="001500EB" w:rsidRDefault="001500EB" w:rsidP="004B2720">
      <w:pPr>
        <w:spacing w:after="0" w:line="240" w:lineRule="auto"/>
      </w:pPr>
      <w:r>
        <w:separator/>
      </w:r>
    </w:p>
  </w:footnote>
  <w:footnote w:type="continuationSeparator" w:id="0">
    <w:p w14:paraId="153F72AD" w14:textId="77777777" w:rsidR="001500EB" w:rsidRDefault="001500EB" w:rsidP="004B2720">
      <w:pPr>
        <w:spacing w:after="0" w:line="240" w:lineRule="auto"/>
      </w:pPr>
      <w:r>
        <w:continuationSeparator/>
      </w:r>
    </w:p>
  </w:footnote>
  <w:footnote w:id="1">
    <w:p w14:paraId="158F4E07" w14:textId="58ACFB49" w:rsidR="004B2720" w:rsidRPr="006839C2" w:rsidRDefault="004B2720">
      <w:pPr>
        <w:pStyle w:val="Textonotapie"/>
        <w:rPr>
          <w:sz w:val="18"/>
          <w:szCs w:val="18"/>
          <w:lang w:val="es-ES"/>
        </w:rPr>
      </w:pPr>
      <w:r w:rsidRPr="006839C2">
        <w:rPr>
          <w:rStyle w:val="Refdenotaalpie"/>
          <w:sz w:val="18"/>
          <w:szCs w:val="18"/>
        </w:rPr>
        <w:footnoteRef/>
      </w:r>
      <w:r w:rsidRPr="006839C2">
        <w:rPr>
          <w:sz w:val="18"/>
          <w:szCs w:val="18"/>
        </w:rPr>
        <w:t xml:space="preserve"> Por </w:t>
      </w:r>
      <w:r w:rsidR="00887B1B" w:rsidRPr="006839C2">
        <w:rPr>
          <w:sz w:val="18"/>
          <w:szCs w:val="18"/>
          <w:lang w:val="es-ES"/>
        </w:rPr>
        <w:t>Super</w:t>
      </w:r>
      <w:r w:rsidRPr="006839C2">
        <w:rPr>
          <w:sz w:val="18"/>
          <w:szCs w:val="18"/>
          <w:lang w:val="es-ES"/>
        </w:rPr>
        <w:t xml:space="preserve">manzana </w:t>
      </w:r>
      <w:r w:rsidRPr="006839C2">
        <w:rPr>
          <w:sz w:val="18"/>
          <w:szCs w:val="18"/>
        </w:rPr>
        <w:t>se entiende</w:t>
      </w:r>
      <w:r w:rsidR="00887B1B" w:rsidRPr="006839C2">
        <w:rPr>
          <w:sz w:val="18"/>
          <w:szCs w:val="18"/>
        </w:rPr>
        <w:t xml:space="preserve"> una agrupación de manzanas donde se prioriza al peatón, la micromovilidad y áreas públicas de estar, se permite el tráfico rodado a baja velocidad y se desestimula que los vehículos motorizados crucen la supermanzana de lado a lado, buscando que los vehículo</w:t>
      </w:r>
      <w:r w:rsidR="006839C2">
        <w:rPr>
          <w:sz w:val="18"/>
          <w:szCs w:val="18"/>
        </w:rPr>
        <w:t>s</w:t>
      </w:r>
      <w:r w:rsidR="00887B1B" w:rsidRPr="006839C2">
        <w:rPr>
          <w:sz w:val="18"/>
          <w:szCs w:val="18"/>
        </w:rPr>
        <w:t xml:space="preserve"> retornen al punto de entrada para estimular que vehículos locales o de servicio hagan ingreso.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397"/>
    <w:multiLevelType w:val="hybridMultilevel"/>
    <w:tmpl w:val="58949B66"/>
    <w:lvl w:ilvl="0" w:tplc="A5E0F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D1F3A"/>
    <w:multiLevelType w:val="hybridMultilevel"/>
    <w:tmpl w:val="17BE38CE"/>
    <w:lvl w:ilvl="0" w:tplc="68C0EC0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A0"/>
    <w:rsid w:val="0003401A"/>
    <w:rsid w:val="000734A8"/>
    <w:rsid w:val="000B1C99"/>
    <w:rsid w:val="000B7641"/>
    <w:rsid w:val="0011500F"/>
    <w:rsid w:val="0012082B"/>
    <w:rsid w:val="001500EB"/>
    <w:rsid w:val="0016149F"/>
    <w:rsid w:val="001E2DCB"/>
    <w:rsid w:val="00206DEE"/>
    <w:rsid w:val="002148BE"/>
    <w:rsid w:val="00215224"/>
    <w:rsid w:val="002814B7"/>
    <w:rsid w:val="002C7B0A"/>
    <w:rsid w:val="00335489"/>
    <w:rsid w:val="0035525A"/>
    <w:rsid w:val="003E771D"/>
    <w:rsid w:val="004459C6"/>
    <w:rsid w:val="004508FC"/>
    <w:rsid w:val="00467711"/>
    <w:rsid w:val="004B2720"/>
    <w:rsid w:val="004D26A0"/>
    <w:rsid w:val="0050252C"/>
    <w:rsid w:val="0054302F"/>
    <w:rsid w:val="00551DA5"/>
    <w:rsid w:val="005976E0"/>
    <w:rsid w:val="0063303B"/>
    <w:rsid w:val="006839C2"/>
    <w:rsid w:val="006C07C9"/>
    <w:rsid w:val="00705C18"/>
    <w:rsid w:val="007442AC"/>
    <w:rsid w:val="00785762"/>
    <w:rsid w:val="0079066B"/>
    <w:rsid w:val="00797604"/>
    <w:rsid w:val="007C09B0"/>
    <w:rsid w:val="007F5BB4"/>
    <w:rsid w:val="008062C3"/>
    <w:rsid w:val="00842AF9"/>
    <w:rsid w:val="008724A2"/>
    <w:rsid w:val="00873237"/>
    <w:rsid w:val="008755D3"/>
    <w:rsid w:val="00877B35"/>
    <w:rsid w:val="0088471B"/>
    <w:rsid w:val="00887B1B"/>
    <w:rsid w:val="008A5BF8"/>
    <w:rsid w:val="008D3FB2"/>
    <w:rsid w:val="00983223"/>
    <w:rsid w:val="009D38BD"/>
    <w:rsid w:val="009F0BC1"/>
    <w:rsid w:val="00A86EBC"/>
    <w:rsid w:val="00A87600"/>
    <w:rsid w:val="00AD1425"/>
    <w:rsid w:val="00AE74EC"/>
    <w:rsid w:val="00B17F7C"/>
    <w:rsid w:val="00B25913"/>
    <w:rsid w:val="00B2697E"/>
    <w:rsid w:val="00B708E6"/>
    <w:rsid w:val="00BA2C8A"/>
    <w:rsid w:val="00C22A6C"/>
    <w:rsid w:val="00C332A9"/>
    <w:rsid w:val="00CB12B6"/>
    <w:rsid w:val="00CB4124"/>
    <w:rsid w:val="00D5549F"/>
    <w:rsid w:val="00D56C32"/>
    <w:rsid w:val="00D97E68"/>
    <w:rsid w:val="00DC5887"/>
    <w:rsid w:val="00DD247E"/>
    <w:rsid w:val="00DE37F2"/>
    <w:rsid w:val="00F2034A"/>
    <w:rsid w:val="00F214A2"/>
    <w:rsid w:val="00F45FC6"/>
    <w:rsid w:val="00F77240"/>
    <w:rsid w:val="00F806FD"/>
    <w:rsid w:val="00F90CD6"/>
    <w:rsid w:val="00FB7C8F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98"/>
  <w15:chartTrackingRefBased/>
  <w15:docId w15:val="{53496C5F-02CF-46D4-9194-158478A7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6A0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26A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3401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27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272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2720"/>
    <w:rPr>
      <w:vertAlign w:val="superscript"/>
    </w:rPr>
  </w:style>
  <w:style w:type="table" w:styleId="Tablaconcuadrcula">
    <w:name w:val="Table Grid"/>
    <w:basedOn w:val="Tablanormal"/>
    <w:uiPriority w:val="39"/>
    <w:rsid w:val="00F4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806A-2658-4BB3-AC34-1D768A7F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1448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Toshiba</cp:lastModifiedBy>
  <cp:revision>3</cp:revision>
  <dcterms:created xsi:type="dcterms:W3CDTF">2021-12-29T02:04:00Z</dcterms:created>
  <dcterms:modified xsi:type="dcterms:W3CDTF">2021-12-29T04:36:00Z</dcterms:modified>
</cp:coreProperties>
</file>